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95A95" w14:paraId="66C28B2E" w14:textId="77777777">
        <w:trPr>
          <w:tblCellSpacing w:w="60" w:type="dxa"/>
        </w:trPr>
        <w:tc>
          <w:tcPr>
            <w:tcW w:w="1200" w:type="pct"/>
            <w:shd w:val="clear" w:color="auto" w:fill="E7F0F9"/>
          </w:tcPr>
          <w:p w14:paraId="7FF65139" w14:textId="77777777" w:rsidR="00E95A95" w:rsidRDefault="00306EB2" w:rsidP="00306EB2">
            <w:pPr>
              <w:spacing w:after="0" w:line="276" w:lineRule="auto"/>
            </w:pPr>
            <w:r>
              <w:rPr>
                <w:b/>
              </w:rPr>
              <w:t>RKP broj</w:t>
            </w:r>
          </w:p>
        </w:tc>
        <w:tc>
          <w:tcPr>
            <w:tcW w:w="0" w:type="auto"/>
            <w:shd w:val="clear" w:color="auto" w:fill="E7F0F9"/>
          </w:tcPr>
          <w:p w14:paraId="2796FF08" w14:textId="77777777" w:rsidR="00E95A95" w:rsidRDefault="00306EB2" w:rsidP="00306EB2">
            <w:pPr>
              <w:spacing w:after="0" w:line="276" w:lineRule="auto"/>
            </w:pPr>
            <w:r>
              <w:t>16328</w:t>
            </w:r>
          </w:p>
        </w:tc>
      </w:tr>
      <w:tr w:rsidR="00E95A95" w14:paraId="763BFF61" w14:textId="77777777">
        <w:trPr>
          <w:tblCellSpacing w:w="60" w:type="dxa"/>
        </w:trPr>
        <w:tc>
          <w:tcPr>
            <w:tcW w:w="1200" w:type="pct"/>
            <w:shd w:val="clear" w:color="auto" w:fill="E7F0F9"/>
          </w:tcPr>
          <w:p w14:paraId="5062432B" w14:textId="77777777" w:rsidR="00E95A95" w:rsidRDefault="00306EB2" w:rsidP="00306EB2">
            <w:pPr>
              <w:spacing w:after="0" w:line="276" w:lineRule="auto"/>
            </w:pPr>
            <w:r>
              <w:rPr>
                <w:b/>
              </w:rPr>
              <w:t>Naziv obveznika</w:t>
            </w:r>
          </w:p>
        </w:tc>
        <w:tc>
          <w:tcPr>
            <w:tcW w:w="0" w:type="auto"/>
            <w:shd w:val="clear" w:color="auto" w:fill="E7F0F9"/>
          </w:tcPr>
          <w:p w14:paraId="64B7B231" w14:textId="77777777" w:rsidR="00E95A95" w:rsidRDefault="00306EB2" w:rsidP="00306EB2">
            <w:pPr>
              <w:spacing w:after="0" w:line="276" w:lineRule="auto"/>
            </w:pPr>
            <w:r>
              <w:t xml:space="preserve">II. GIMNAZIJA </w:t>
            </w:r>
          </w:p>
        </w:tc>
      </w:tr>
      <w:tr w:rsidR="00E95A95" w14:paraId="4650F678" w14:textId="77777777">
        <w:trPr>
          <w:tblCellSpacing w:w="60" w:type="dxa"/>
        </w:trPr>
        <w:tc>
          <w:tcPr>
            <w:tcW w:w="1200" w:type="pct"/>
            <w:shd w:val="clear" w:color="auto" w:fill="E7F0F9"/>
          </w:tcPr>
          <w:p w14:paraId="76C1168F" w14:textId="77777777" w:rsidR="00E95A95" w:rsidRDefault="00306EB2" w:rsidP="00306EB2">
            <w:pPr>
              <w:spacing w:after="0" w:line="276" w:lineRule="auto"/>
            </w:pPr>
            <w:r>
              <w:rPr>
                <w:b/>
              </w:rPr>
              <w:t>Razina</w:t>
            </w:r>
          </w:p>
        </w:tc>
        <w:tc>
          <w:tcPr>
            <w:tcW w:w="0" w:type="auto"/>
            <w:shd w:val="clear" w:color="auto" w:fill="E7F0F9"/>
          </w:tcPr>
          <w:p w14:paraId="688B628F" w14:textId="77777777" w:rsidR="00E95A95" w:rsidRDefault="00306EB2" w:rsidP="00306EB2">
            <w:pPr>
              <w:spacing w:after="0" w:line="276" w:lineRule="auto"/>
            </w:pPr>
            <w:r>
              <w:t>31</w:t>
            </w:r>
          </w:p>
        </w:tc>
      </w:tr>
    </w:tbl>
    <w:p w14:paraId="2B0C305D" w14:textId="77777777" w:rsidR="00E95A95" w:rsidRDefault="00306EB2" w:rsidP="00306EB2">
      <w:pPr>
        <w:spacing w:line="276" w:lineRule="auto"/>
      </w:pPr>
      <w:r>
        <w:br/>
      </w:r>
    </w:p>
    <w:p w14:paraId="0DA8204D" w14:textId="77777777" w:rsidR="00E95A95" w:rsidRDefault="00306EB2" w:rsidP="00306EB2">
      <w:pPr>
        <w:spacing w:line="276" w:lineRule="auto"/>
        <w:jc w:val="center"/>
      </w:pPr>
      <w:r>
        <w:rPr>
          <w:b/>
          <w:sz w:val="28"/>
        </w:rPr>
        <w:t>BILJEŠKE UZ FINANCIJSKE IZVJEŠTAJE</w:t>
      </w:r>
    </w:p>
    <w:p w14:paraId="05EBEC83" w14:textId="77777777" w:rsidR="00E95A95" w:rsidRDefault="00306EB2" w:rsidP="00306EB2">
      <w:pPr>
        <w:spacing w:line="276" w:lineRule="auto"/>
        <w:jc w:val="center"/>
      </w:pPr>
      <w:r>
        <w:rPr>
          <w:b/>
          <w:sz w:val="28"/>
        </w:rPr>
        <w:t>ZA RAZDOBLJE</w:t>
      </w:r>
    </w:p>
    <w:p w14:paraId="46DD1C74" w14:textId="77777777" w:rsidR="00E95A95" w:rsidRDefault="00306EB2" w:rsidP="00306EB2">
      <w:pPr>
        <w:spacing w:line="276" w:lineRule="auto"/>
        <w:jc w:val="center"/>
      </w:pPr>
      <w:r>
        <w:rPr>
          <w:b/>
          <w:sz w:val="28"/>
        </w:rPr>
        <w:t>I - XII 2025.</w:t>
      </w:r>
    </w:p>
    <w:p w14:paraId="2B997731" w14:textId="77777777" w:rsidR="00E95A95" w:rsidRDefault="00E95A95" w:rsidP="00306EB2">
      <w:pPr>
        <w:spacing w:line="276" w:lineRule="auto"/>
      </w:pPr>
    </w:p>
    <w:p w14:paraId="397E5F9A" w14:textId="77777777" w:rsidR="00E95A95" w:rsidRDefault="00306EB2" w:rsidP="00306EB2">
      <w:pPr>
        <w:keepNext/>
        <w:spacing w:line="276" w:lineRule="auto"/>
        <w:jc w:val="center"/>
      </w:pPr>
      <w:r>
        <w:rPr>
          <w:b/>
          <w:sz w:val="28"/>
        </w:rPr>
        <w:t>Izvještaj o prihodima i rashodima, primicima i izdacima</w:t>
      </w:r>
    </w:p>
    <w:p w14:paraId="402677C1" w14:textId="77777777" w:rsidR="00E95A95" w:rsidRDefault="00306EB2" w:rsidP="00306EB2">
      <w:pPr>
        <w:keepNext/>
        <w:spacing w:line="276"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541746E4" w14:textId="77777777">
        <w:trPr>
          <w:cantSplit/>
        </w:trPr>
        <w:tc>
          <w:tcPr>
            <w:tcW w:w="700" w:type="dxa"/>
            <w:shd w:val="clear" w:color="auto" w:fill="E7F0F9"/>
            <w:tcMar>
              <w:top w:w="0" w:type="dxa"/>
              <w:bottom w:w="0" w:type="dxa"/>
            </w:tcMar>
            <w:vAlign w:val="center"/>
          </w:tcPr>
          <w:p w14:paraId="1ECCF4AB"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D2F786"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336E9A62"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35257F1D"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8A4962"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2E2A3E" w14:textId="77777777" w:rsidR="00E95A95" w:rsidRDefault="00306EB2" w:rsidP="00306EB2">
            <w:pPr>
              <w:keepNext/>
              <w:keepLines/>
              <w:spacing w:after="0" w:line="276" w:lineRule="auto"/>
              <w:jc w:val="center"/>
            </w:pPr>
            <w:r>
              <w:rPr>
                <w:b/>
                <w:sz w:val="18"/>
              </w:rPr>
              <w:t>Indeks (%)</w:t>
            </w:r>
          </w:p>
        </w:tc>
      </w:tr>
      <w:tr w:rsidR="00E95A95" w14:paraId="663A9254" w14:textId="77777777">
        <w:trPr>
          <w:cantSplit/>
          <w:trHeight w:val="560"/>
        </w:trPr>
        <w:tc>
          <w:tcPr>
            <w:tcW w:w="700" w:type="dxa"/>
            <w:tcMar>
              <w:top w:w="0" w:type="dxa"/>
              <w:bottom w:w="0" w:type="dxa"/>
            </w:tcMar>
            <w:vAlign w:val="center"/>
          </w:tcPr>
          <w:p w14:paraId="1C0785C7" w14:textId="77777777" w:rsidR="00E95A95" w:rsidRDefault="00306EB2" w:rsidP="00306EB2">
            <w:pPr>
              <w:keepNext/>
              <w:keepLines/>
              <w:spacing w:after="0" w:line="276" w:lineRule="auto"/>
            </w:pPr>
            <w:r>
              <w:rPr>
                <w:sz w:val="18"/>
              </w:rPr>
              <w:t>6</w:t>
            </w:r>
          </w:p>
        </w:tc>
        <w:tc>
          <w:tcPr>
            <w:tcW w:w="3180" w:type="dxa"/>
            <w:tcMar>
              <w:top w:w="0" w:type="dxa"/>
              <w:bottom w:w="0" w:type="dxa"/>
            </w:tcMar>
            <w:vAlign w:val="center"/>
          </w:tcPr>
          <w:p w14:paraId="67A3DAD0" w14:textId="77777777" w:rsidR="00E95A95" w:rsidRDefault="00306EB2" w:rsidP="00306EB2">
            <w:pPr>
              <w:keepNext/>
              <w:keepLines/>
              <w:spacing w:after="0" w:line="276" w:lineRule="auto"/>
            </w:pPr>
            <w:r>
              <w:rPr>
                <w:sz w:val="18"/>
              </w:rPr>
              <w:t>PRIHODI POSLOVANJA (šifre 61+62+63+64+65+66+67+68)</w:t>
            </w:r>
          </w:p>
        </w:tc>
        <w:tc>
          <w:tcPr>
            <w:tcW w:w="700" w:type="dxa"/>
            <w:tcMar>
              <w:top w:w="0" w:type="dxa"/>
              <w:bottom w:w="0" w:type="dxa"/>
            </w:tcMar>
            <w:vAlign w:val="center"/>
          </w:tcPr>
          <w:p w14:paraId="140E4E42" w14:textId="77777777" w:rsidR="00E95A95" w:rsidRDefault="00306EB2" w:rsidP="00306EB2">
            <w:pPr>
              <w:keepNext/>
              <w:keepLines/>
              <w:spacing w:after="0" w:line="276" w:lineRule="auto"/>
            </w:pPr>
            <w:r>
              <w:rPr>
                <w:sz w:val="18"/>
              </w:rPr>
              <w:t>6</w:t>
            </w:r>
          </w:p>
        </w:tc>
        <w:tc>
          <w:tcPr>
            <w:tcW w:w="1860" w:type="dxa"/>
            <w:tcMar>
              <w:top w:w="0" w:type="dxa"/>
              <w:bottom w:w="0" w:type="dxa"/>
            </w:tcMar>
            <w:vAlign w:val="center"/>
          </w:tcPr>
          <w:p w14:paraId="03DCF4A6" w14:textId="77777777" w:rsidR="00E95A95" w:rsidRDefault="00306EB2" w:rsidP="00306EB2">
            <w:pPr>
              <w:keepNext/>
              <w:keepLines/>
              <w:spacing w:after="0" w:line="276" w:lineRule="auto"/>
              <w:jc w:val="right"/>
            </w:pPr>
            <w:r>
              <w:rPr>
                <w:sz w:val="18"/>
              </w:rPr>
              <w:t>1.976.420,23</w:t>
            </w:r>
          </w:p>
        </w:tc>
        <w:tc>
          <w:tcPr>
            <w:tcW w:w="1860" w:type="dxa"/>
            <w:tcMar>
              <w:top w:w="0" w:type="dxa"/>
              <w:bottom w:w="0" w:type="dxa"/>
            </w:tcMar>
            <w:vAlign w:val="center"/>
          </w:tcPr>
          <w:p w14:paraId="4EA24066" w14:textId="77777777" w:rsidR="00E95A95" w:rsidRDefault="00306EB2" w:rsidP="00306EB2">
            <w:pPr>
              <w:keepNext/>
              <w:keepLines/>
              <w:spacing w:after="0" w:line="276" w:lineRule="auto"/>
              <w:jc w:val="right"/>
            </w:pPr>
            <w:r>
              <w:rPr>
                <w:sz w:val="18"/>
              </w:rPr>
              <w:t>2.057.736,35</w:t>
            </w:r>
          </w:p>
        </w:tc>
        <w:tc>
          <w:tcPr>
            <w:tcW w:w="700" w:type="dxa"/>
            <w:tcMar>
              <w:top w:w="0" w:type="dxa"/>
              <w:bottom w:w="0" w:type="dxa"/>
            </w:tcMar>
            <w:vAlign w:val="center"/>
          </w:tcPr>
          <w:p w14:paraId="418D5675" w14:textId="77777777" w:rsidR="00E95A95" w:rsidRDefault="00306EB2" w:rsidP="00306EB2">
            <w:pPr>
              <w:keepNext/>
              <w:keepLines/>
              <w:spacing w:after="0" w:line="276" w:lineRule="auto"/>
              <w:jc w:val="right"/>
            </w:pPr>
            <w:r>
              <w:rPr>
                <w:sz w:val="18"/>
              </w:rPr>
              <w:t>104,1</w:t>
            </w:r>
          </w:p>
        </w:tc>
      </w:tr>
      <w:tr w:rsidR="00E95A95" w14:paraId="547B530A" w14:textId="77777777">
        <w:trPr>
          <w:cantSplit/>
          <w:trHeight w:val="560"/>
        </w:trPr>
        <w:tc>
          <w:tcPr>
            <w:tcW w:w="700" w:type="dxa"/>
            <w:tcMar>
              <w:top w:w="0" w:type="dxa"/>
              <w:bottom w:w="0" w:type="dxa"/>
            </w:tcMar>
            <w:vAlign w:val="center"/>
          </w:tcPr>
          <w:p w14:paraId="700C99D2" w14:textId="77777777" w:rsidR="00E95A95" w:rsidRDefault="00306EB2" w:rsidP="00306EB2">
            <w:pPr>
              <w:keepNext/>
              <w:keepLines/>
              <w:spacing w:after="0" w:line="276" w:lineRule="auto"/>
            </w:pPr>
            <w:r>
              <w:rPr>
                <w:sz w:val="18"/>
              </w:rPr>
              <w:t>3</w:t>
            </w:r>
          </w:p>
        </w:tc>
        <w:tc>
          <w:tcPr>
            <w:tcW w:w="3180" w:type="dxa"/>
            <w:tcMar>
              <w:top w:w="0" w:type="dxa"/>
              <w:bottom w:w="0" w:type="dxa"/>
            </w:tcMar>
            <w:vAlign w:val="center"/>
          </w:tcPr>
          <w:p w14:paraId="2E76106A" w14:textId="77777777" w:rsidR="00E95A95" w:rsidRDefault="00306EB2" w:rsidP="00306EB2">
            <w:pPr>
              <w:keepNext/>
              <w:keepLines/>
              <w:spacing w:after="0" w:line="276" w:lineRule="auto"/>
            </w:pPr>
            <w:r>
              <w:rPr>
                <w:sz w:val="18"/>
              </w:rPr>
              <w:t>RASHODI POSLOVANJA (šifre 31+32+34+35+36+37+38)</w:t>
            </w:r>
          </w:p>
        </w:tc>
        <w:tc>
          <w:tcPr>
            <w:tcW w:w="700" w:type="dxa"/>
            <w:tcMar>
              <w:top w:w="0" w:type="dxa"/>
              <w:bottom w:w="0" w:type="dxa"/>
            </w:tcMar>
            <w:vAlign w:val="center"/>
          </w:tcPr>
          <w:p w14:paraId="0260878E" w14:textId="77777777" w:rsidR="00E95A95" w:rsidRDefault="00306EB2" w:rsidP="00306EB2">
            <w:pPr>
              <w:keepNext/>
              <w:keepLines/>
              <w:spacing w:after="0" w:line="276" w:lineRule="auto"/>
            </w:pPr>
            <w:r>
              <w:rPr>
                <w:sz w:val="18"/>
              </w:rPr>
              <w:t>3</w:t>
            </w:r>
          </w:p>
        </w:tc>
        <w:tc>
          <w:tcPr>
            <w:tcW w:w="1860" w:type="dxa"/>
            <w:tcMar>
              <w:top w:w="0" w:type="dxa"/>
              <w:bottom w:w="0" w:type="dxa"/>
            </w:tcMar>
            <w:vAlign w:val="center"/>
          </w:tcPr>
          <w:p w14:paraId="4C3D0C48" w14:textId="77777777" w:rsidR="00E95A95" w:rsidRDefault="00306EB2" w:rsidP="00306EB2">
            <w:pPr>
              <w:keepNext/>
              <w:keepLines/>
              <w:spacing w:after="0" w:line="276" w:lineRule="auto"/>
              <w:jc w:val="right"/>
            </w:pPr>
            <w:r>
              <w:rPr>
                <w:sz w:val="18"/>
              </w:rPr>
              <w:t>1.930.801,52</w:t>
            </w:r>
          </w:p>
        </w:tc>
        <w:tc>
          <w:tcPr>
            <w:tcW w:w="1860" w:type="dxa"/>
            <w:tcMar>
              <w:top w:w="0" w:type="dxa"/>
              <w:bottom w:w="0" w:type="dxa"/>
            </w:tcMar>
            <w:vAlign w:val="center"/>
          </w:tcPr>
          <w:p w14:paraId="5D0CFAC0" w14:textId="77777777" w:rsidR="00E95A95" w:rsidRDefault="00306EB2" w:rsidP="00306EB2">
            <w:pPr>
              <w:keepNext/>
              <w:keepLines/>
              <w:spacing w:after="0" w:line="276" w:lineRule="auto"/>
              <w:jc w:val="right"/>
            </w:pPr>
            <w:r>
              <w:rPr>
                <w:sz w:val="18"/>
              </w:rPr>
              <w:t>2.117.196,50</w:t>
            </w:r>
          </w:p>
        </w:tc>
        <w:tc>
          <w:tcPr>
            <w:tcW w:w="700" w:type="dxa"/>
            <w:tcMar>
              <w:top w:w="0" w:type="dxa"/>
              <w:bottom w:w="0" w:type="dxa"/>
            </w:tcMar>
            <w:vAlign w:val="center"/>
          </w:tcPr>
          <w:p w14:paraId="55FC8B5D" w14:textId="77777777" w:rsidR="00E95A95" w:rsidRDefault="00306EB2" w:rsidP="00306EB2">
            <w:pPr>
              <w:keepNext/>
              <w:keepLines/>
              <w:spacing w:after="0" w:line="276" w:lineRule="auto"/>
              <w:jc w:val="right"/>
            </w:pPr>
            <w:r>
              <w:rPr>
                <w:sz w:val="18"/>
              </w:rPr>
              <w:t>109,7</w:t>
            </w:r>
          </w:p>
        </w:tc>
      </w:tr>
      <w:tr w:rsidR="00E95A95" w14:paraId="61863A9F" w14:textId="77777777">
        <w:trPr>
          <w:cantSplit/>
          <w:trHeight w:val="560"/>
        </w:trPr>
        <w:tc>
          <w:tcPr>
            <w:tcW w:w="700" w:type="dxa"/>
            <w:tcMar>
              <w:top w:w="0" w:type="dxa"/>
              <w:bottom w:w="0" w:type="dxa"/>
            </w:tcMar>
            <w:vAlign w:val="center"/>
          </w:tcPr>
          <w:p w14:paraId="1A2D81D3" w14:textId="77777777" w:rsidR="00E95A95" w:rsidRDefault="00E95A95" w:rsidP="00306EB2">
            <w:pPr>
              <w:keepNext/>
              <w:keepLines/>
              <w:spacing w:after="0" w:line="276" w:lineRule="auto"/>
            </w:pPr>
          </w:p>
        </w:tc>
        <w:tc>
          <w:tcPr>
            <w:tcW w:w="3180" w:type="dxa"/>
            <w:tcMar>
              <w:top w:w="0" w:type="dxa"/>
              <w:bottom w:w="0" w:type="dxa"/>
            </w:tcMar>
            <w:vAlign w:val="center"/>
          </w:tcPr>
          <w:p w14:paraId="5EDA314D" w14:textId="77777777" w:rsidR="00E95A95" w:rsidRDefault="00306EB2" w:rsidP="00306EB2">
            <w:pPr>
              <w:keepNext/>
              <w:keepLines/>
              <w:spacing w:after="0" w:line="276" w:lineRule="auto"/>
            </w:pPr>
            <w:r>
              <w:rPr>
                <w:b/>
                <w:sz w:val="18"/>
              </w:rPr>
              <w:t>MANJAK PRIHODA POSLOVANJA (šifre Z005-6)</w:t>
            </w:r>
          </w:p>
        </w:tc>
        <w:tc>
          <w:tcPr>
            <w:tcW w:w="700" w:type="dxa"/>
            <w:tcMar>
              <w:top w:w="0" w:type="dxa"/>
              <w:bottom w:w="0" w:type="dxa"/>
            </w:tcMar>
            <w:vAlign w:val="center"/>
          </w:tcPr>
          <w:p w14:paraId="73A232E8" w14:textId="77777777" w:rsidR="00E95A95" w:rsidRDefault="00306EB2" w:rsidP="00306EB2">
            <w:pPr>
              <w:keepNext/>
              <w:keepLines/>
              <w:spacing w:after="0" w:line="276" w:lineRule="auto"/>
            </w:pPr>
            <w:r>
              <w:rPr>
                <w:b/>
                <w:sz w:val="18"/>
              </w:rPr>
              <w:t>Y001</w:t>
            </w:r>
          </w:p>
        </w:tc>
        <w:tc>
          <w:tcPr>
            <w:tcW w:w="1860" w:type="dxa"/>
            <w:tcMar>
              <w:top w:w="0" w:type="dxa"/>
              <w:bottom w:w="0" w:type="dxa"/>
            </w:tcMar>
            <w:vAlign w:val="center"/>
          </w:tcPr>
          <w:p w14:paraId="3087E99D" w14:textId="77777777" w:rsidR="00E95A95" w:rsidRDefault="00306EB2" w:rsidP="00306EB2">
            <w:pPr>
              <w:keepNext/>
              <w:keepLines/>
              <w:spacing w:after="0" w:line="276" w:lineRule="auto"/>
              <w:jc w:val="right"/>
            </w:pPr>
            <w:r>
              <w:rPr>
                <w:b/>
                <w:sz w:val="18"/>
              </w:rPr>
              <w:t>0,00</w:t>
            </w:r>
          </w:p>
        </w:tc>
        <w:tc>
          <w:tcPr>
            <w:tcW w:w="1860" w:type="dxa"/>
            <w:tcMar>
              <w:top w:w="0" w:type="dxa"/>
              <w:bottom w:w="0" w:type="dxa"/>
            </w:tcMar>
            <w:vAlign w:val="center"/>
          </w:tcPr>
          <w:p w14:paraId="691A0546" w14:textId="77777777" w:rsidR="00E95A95" w:rsidRDefault="00306EB2" w:rsidP="00306EB2">
            <w:pPr>
              <w:keepNext/>
              <w:keepLines/>
              <w:spacing w:after="0" w:line="276" w:lineRule="auto"/>
              <w:jc w:val="right"/>
            </w:pPr>
            <w:r>
              <w:rPr>
                <w:b/>
                <w:sz w:val="18"/>
              </w:rPr>
              <w:t>59.460,15</w:t>
            </w:r>
          </w:p>
        </w:tc>
        <w:tc>
          <w:tcPr>
            <w:tcW w:w="700" w:type="dxa"/>
            <w:tcMar>
              <w:top w:w="0" w:type="dxa"/>
              <w:bottom w:w="0" w:type="dxa"/>
            </w:tcMar>
            <w:vAlign w:val="center"/>
          </w:tcPr>
          <w:p w14:paraId="26493515" w14:textId="77777777" w:rsidR="00E95A95" w:rsidRDefault="00306EB2" w:rsidP="00306EB2">
            <w:pPr>
              <w:keepNext/>
              <w:keepLines/>
              <w:spacing w:after="0" w:line="276" w:lineRule="auto"/>
              <w:jc w:val="right"/>
            </w:pPr>
            <w:r>
              <w:rPr>
                <w:b/>
                <w:sz w:val="18"/>
              </w:rPr>
              <w:t>-</w:t>
            </w:r>
          </w:p>
        </w:tc>
      </w:tr>
      <w:tr w:rsidR="00E95A95" w14:paraId="63B2A69D" w14:textId="77777777">
        <w:trPr>
          <w:cantSplit/>
          <w:trHeight w:val="560"/>
        </w:trPr>
        <w:tc>
          <w:tcPr>
            <w:tcW w:w="700" w:type="dxa"/>
            <w:tcMar>
              <w:top w:w="0" w:type="dxa"/>
              <w:bottom w:w="0" w:type="dxa"/>
            </w:tcMar>
            <w:vAlign w:val="center"/>
          </w:tcPr>
          <w:p w14:paraId="7583D75A" w14:textId="77777777" w:rsidR="00E95A95" w:rsidRDefault="00306EB2" w:rsidP="00306EB2">
            <w:pPr>
              <w:keepNext/>
              <w:keepLines/>
              <w:spacing w:after="0" w:line="276" w:lineRule="auto"/>
            </w:pPr>
            <w:r>
              <w:rPr>
                <w:sz w:val="18"/>
              </w:rPr>
              <w:t>7</w:t>
            </w:r>
          </w:p>
        </w:tc>
        <w:tc>
          <w:tcPr>
            <w:tcW w:w="3180" w:type="dxa"/>
            <w:tcMar>
              <w:top w:w="0" w:type="dxa"/>
              <w:bottom w:w="0" w:type="dxa"/>
            </w:tcMar>
            <w:vAlign w:val="center"/>
          </w:tcPr>
          <w:p w14:paraId="5DE97F9F" w14:textId="77777777" w:rsidR="00E95A95" w:rsidRDefault="00306EB2" w:rsidP="00306EB2">
            <w:pPr>
              <w:keepNext/>
              <w:keepLines/>
              <w:spacing w:after="0" w:line="276" w:lineRule="auto"/>
            </w:pPr>
            <w:r>
              <w:rPr>
                <w:sz w:val="18"/>
              </w:rPr>
              <w:t>Prihodi od prodaje nefinancijske imovine (šifre 71+72+73+74)</w:t>
            </w:r>
          </w:p>
        </w:tc>
        <w:tc>
          <w:tcPr>
            <w:tcW w:w="700" w:type="dxa"/>
            <w:tcMar>
              <w:top w:w="0" w:type="dxa"/>
              <w:bottom w:w="0" w:type="dxa"/>
            </w:tcMar>
            <w:vAlign w:val="center"/>
          </w:tcPr>
          <w:p w14:paraId="61D1CE34" w14:textId="77777777" w:rsidR="00E95A95" w:rsidRDefault="00306EB2" w:rsidP="00306EB2">
            <w:pPr>
              <w:keepNext/>
              <w:keepLines/>
              <w:spacing w:after="0" w:line="276" w:lineRule="auto"/>
            </w:pPr>
            <w:r>
              <w:rPr>
                <w:sz w:val="18"/>
              </w:rPr>
              <w:t>7</w:t>
            </w:r>
          </w:p>
        </w:tc>
        <w:tc>
          <w:tcPr>
            <w:tcW w:w="1860" w:type="dxa"/>
            <w:tcMar>
              <w:top w:w="0" w:type="dxa"/>
              <w:bottom w:w="0" w:type="dxa"/>
            </w:tcMar>
            <w:vAlign w:val="center"/>
          </w:tcPr>
          <w:p w14:paraId="48E079C1" w14:textId="77777777" w:rsidR="00E95A95" w:rsidRDefault="00306EB2" w:rsidP="00306EB2">
            <w:pPr>
              <w:keepNext/>
              <w:keepLines/>
              <w:spacing w:after="0" w:line="276" w:lineRule="auto"/>
              <w:jc w:val="right"/>
            </w:pPr>
            <w:r>
              <w:rPr>
                <w:sz w:val="18"/>
              </w:rPr>
              <w:t>0,00</w:t>
            </w:r>
          </w:p>
        </w:tc>
        <w:tc>
          <w:tcPr>
            <w:tcW w:w="1860" w:type="dxa"/>
            <w:tcMar>
              <w:top w:w="0" w:type="dxa"/>
              <w:bottom w:w="0" w:type="dxa"/>
            </w:tcMar>
            <w:vAlign w:val="center"/>
          </w:tcPr>
          <w:p w14:paraId="66ABCB49" w14:textId="77777777" w:rsidR="00E95A95" w:rsidRDefault="00306EB2" w:rsidP="00306EB2">
            <w:pPr>
              <w:keepNext/>
              <w:keepLines/>
              <w:spacing w:after="0" w:line="276" w:lineRule="auto"/>
              <w:jc w:val="right"/>
            </w:pPr>
            <w:r>
              <w:rPr>
                <w:sz w:val="18"/>
              </w:rPr>
              <w:t>0,00</w:t>
            </w:r>
          </w:p>
        </w:tc>
        <w:tc>
          <w:tcPr>
            <w:tcW w:w="700" w:type="dxa"/>
            <w:tcMar>
              <w:top w:w="0" w:type="dxa"/>
              <w:bottom w:w="0" w:type="dxa"/>
            </w:tcMar>
            <w:vAlign w:val="center"/>
          </w:tcPr>
          <w:p w14:paraId="67A2981E" w14:textId="77777777" w:rsidR="00E95A95" w:rsidRDefault="00306EB2" w:rsidP="00306EB2">
            <w:pPr>
              <w:keepNext/>
              <w:keepLines/>
              <w:spacing w:after="0" w:line="276" w:lineRule="auto"/>
              <w:jc w:val="right"/>
            </w:pPr>
            <w:r>
              <w:rPr>
                <w:sz w:val="18"/>
              </w:rPr>
              <w:t>-</w:t>
            </w:r>
          </w:p>
        </w:tc>
      </w:tr>
      <w:tr w:rsidR="00E95A95" w14:paraId="63A19D74" w14:textId="77777777">
        <w:trPr>
          <w:cantSplit/>
          <w:trHeight w:val="560"/>
        </w:trPr>
        <w:tc>
          <w:tcPr>
            <w:tcW w:w="700" w:type="dxa"/>
            <w:tcMar>
              <w:top w:w="0" w:type="dxa"/>
              <w:bottom w:w="0" w:type="dxa"/>
            </w:tcMar>
            <w:vAlign w:val="center"/>
          </w:tcPr>
          <w:p w14:paraId="57AECE91" w14:textId="77777777" w:rsidR="00E95A95" w:rsidRDefault="00306EB2" w:rsidP="00306EB2">
            <w:pPr>
              <w:keepNext/>
              <w:keepLines/>
              <w:spacing w:after="0" w:line="276" w:lineRule="auto"/>
            </w:pPr>
            <w:r>
              <w:rPr>
                <w:sz w:val="18"/>
              </w:rPr>
              <w:t>4</w:t>
            </w:r>
          </w:p>
        </w:tc>
        <w:tc>
          <w:tcPr>
            <w:tcW w:w="3180" w:type="dxa"/>
            <w:tcMar>
              <w:top w:w="0" w:type="dxa"/>
              <w:bottom w:w="0" w:type="dxa"/>
            </w:tcMar>
            <w:vAlign w:val="center"/>
          </w:tcPr>
          <w:p w14:paraId="68378257" w14:textId="77777777" w:rsidR="00E95A95" w:rsidRDefault="00306EB2" w:rsidP="00306EB2">
            <w:pPr>
              <w:keepNext/>
              <w:keepLines/>
              <w:spacing w:after="0" w:line="276" w:lineRule="auto"/>
            </w:pPr>
            <w:r>
              <w:rPr>
                <w:sz w:val="18"/>
              </w:rPr>
              <w:t>Rashodi za nabavu nefinancijske imovine (šifre 41+42+43+44+45)</w:t>
            </w:r>
          </w:p>
        </w:tc>
        <w:tc>
          <w:tcPr>
            <w:tcW w:w="700" w:type="dxa"/>
            <w:tcMar>
              <w:top w:w="0" w:type="dxa"/>
              <w:bottom w:w="0" w:type="dxa"/>
            </w:tcMar>
            <w:vAlign w:val="center"/>
          </w:tcPr>
          <w:p w14:paraId="34903280" w14:textId="77777777" w:rsidR="00E95A95" w:rsidRDefault="00306EB2" w:rsidP="00306EB2">
            <w:pPr>
              <w:keepNext/>
              <w:keepLines/>
              <w:spacing w:after="0" w:line="276" w:lineRule="auto"/>
            </w:pPr>
            <w:r>
              <w:rPr>
                <w:sz w:val="18"/>
              </w:rPr>
              <w:t>4</w:t>
            </w:r>
          </w:p>
        </w:tc>
        <w:tc>
          <w:tcPr>
            <w:tcW w:w="1860" w:type="dxa"/>
            <w:tcMar>
              <w:top w:w="0" w:type="dxa"/>
              <w:bottom w:w="0" w:type="dxa"/>
            </w:tcMar>
            <w:vAlign w:val="center"/>
          </w:tcPr>
          <w:p w14:paraId="1AEE2BBF" w14:textId="77777777" w:rsidR="00E95A95" w:rsidRDefault="00306EB2" w:rsidP="00306EB2">
            <w:pPr>
              <w:keepNext/>
              <w:keepLines/>
              <w:spacing w:after="0" w:line="276" w:lineRule="auto"/>
              <w:jc w:val="right"/>
            </w:pPr>
            <w:r>
              <w:rPr>
                <w:sz w:val="18"/>
              </w:rPr>
              <w:t>84.388,31</w:t>
            </w:r>
          </w:p>
        </w:tc>
        <w:tc>
          <w:tcPr>
            <w:tcW w:w="1860" w:type="dxa"/>
            <w:tcMar>
              <w:top w:w="0" w:type="dxa"/>
              <w:bottom w:w="0" w:type="dxa"/>
            </w:tcMar>
            <w:vAlign w:val="center"/>
          </w:tcPr>
          <w:p w14:paraId="3E1110A9" w14:textId="77777777" w:rsidR="00E95A95" w:rsidRDefault="00306EB2" w:rsidP="00306EB2">
            <w:pPr>
              <w:keepNext/>
              <w:keepLines/>
              <w:spacing w:after="0" w:line="276" w:lineRule="auto"/>
              <w:jc w:val="right"/>
            </w:pPr>
            <w:r>
              <w:rPr>
                <w:sz w:val="18"/>
              </w:rPr>
              <w:t>73.636,51</w:t>
            </w:r>
          </w:p>
        </w:tc>
        <w:tc>
          <w:tcPr>
            <w:tcW w:w="700" w:type="dxa"/>
            <w:tcMar>
              <w:top w:w="0" w:type="dxa"/>
              <w:bottom w:w="0" w:type="dxa"/>
            </w:tcMar>
            <w:vAlign w:val="center"/>
          </w:tcPr>
          <w:p w14:paraId="2FB8E7CE" w14:textId="77777777" w:rsidR="00E95A95" w:rsidRDefault="00306EB2" w:rsidP="00306EB2">
            <w:pPr>
              <w:keepNext/>
              <w:keepLines/>
              <w:spacing w:after="0" w:line="276" w:lineRule="auto"/>
              <w:jc w:val="right"/>
            </w:pPr>
            <w:r>
              <w:rPr>
                <w:sz w:val="18"/>
              </w:rPr>
              <w:t>87,3</w:t>
            </w:r>
          </w:p>
        </w:tc>
      </w:tr>
      <w:tr w:rsidR="00E95A95" w14:paraId="20926548" w14:textId="77777777">
        <w:trPr>
          <w:cantSplit/>
          <w:trHeight w:val="560"/>
        </w:trPr>
        <w:tc>
          <w:tcPr>
            <w:tcW w:w="700" w:type="dxa"/>
            <w:tcMar>
              <w:top w:w="0" w:type="dxa"/>
              <w:bottom w:w="0" w:type="dxa"/>
            </w:tcMar>
            <w:vAlign w:val="center"/>
          </w:tcPr>
          <w:p w14:paraId="4A226041" w14:textId="77777777" w:rsidR="00E95A95" w:rsidRDefault="00E95A95" w:rsidP="00306EB2">
            <w:pPr>
              <w:keepNext/>
              <w:keepLines/>
              <w:spacing w:after="0" w:line="276" w:lineRule="auto"/>
            </w:pPr>
          </w:p>
        </w:tc>
        <w:tc>
          <w:tcPr>
            <w:tcW w:w="3180" w:type="dxa"/>
            <w:tcMar>
              <w:top w:w="0" w:type="dxa"/>
              <w:bottom w:w="0" w:type="dxa"/>
            </w:tcMar>
            <w:vAlign w:val="center"/>
          </w:tcPr>
          <w:p w14:paraId="23D373C8" w14:textId="77777777" w:rsidR="00E95A95" w:rsidRDefault="00306EB2" w:rsidP="00306EB2">
            <w:pPr>
              <w:keepNext/>
              <w:keepLines/>
              <w:spacing w:after="0" w:line="276" w:lineRule="auto"/>
            </w:pPr>
            <w:r>
              <w:rPr>
                <w:b/>
                <w:sz w:val="18"/>
              </w:rPr>
              <w:t>MANJAK PRIHODA OD NEFINANCIJSKE IMOVINE (šifre 4-7)</w:t>
            </w:r>
          </w:p>
        </w:tc>
        <w:tc>
          <w:tcPr>
            <w:tcW w:w="700" w:type="dxa"/>
            <w:tcMar>
              <w:top w:w="0" w:type="dxa"/>
              <w:bottom w:w="0" w:type="dxa"/>
            </w:tcMar>
            <w:vAlign w:val="center"/>
          </w:tcPr>
          <w:p w14:paraId="020D9527" w14:textId="77777777" w:rsidR="00E95A95" w:rsidRDefault="00306EB2" w:rsidP="00306EB2">
            <w:pPr>
              <w:keepNext/>
              <w:keepLines/>
              <w:spacing w:after="0" w:line="276" w:lineRule="auto"/>
            </w:pPr>
            <w:r>
              <w:rPr>
                <w:b/>
                <w:sz w:val="18"/>
              </w:rPr>
              <w:t>Y002</w:t>
            </w:r>
          </w:p>
        </w:tc>
        <w:tc>
          <w:tcPr>
            <w:tcW w:w="1860" w:type="dxa"/>
            <w:tcMar>
              <w:top w:w="0" w:type="dxa"/>
              <w:bottom w:w="0" w:type="dxa"/>
            </w:tcMar>
            <w:vAlign w:val="center"/>
          </w:tcPr>
          <w:p w14:paraId="5E1FB64F" w14:textId="77777777" w:rsidR="00E95A95" w:rsidRDefault="00306EB2" w:rsidP="00306EB2">
            <w:pPr>
              <w:keepNext/>
              <w:keepLines/>
              <w:spacing w:after="0" w:line="276" w:lineRule="auto"/>
              <w:jc w:val="right"/>
            </w:pPr>
            <w:r>
              <w:rPr>
                <w:b/>
                <w:sz w:val="18"/>
              </w:rPr>
              <w:t>84.388,31</w:t>
            </w:r>
          </w:p>
        </w:tc>
        <w:tc>
          <w:tcPr>
            <w:tcW w:w="1860" w:type="dxa"/>
            <w:tcMar>
              <w:top w:w="0" w:type="dxa"/>
              <w:bottom w:w="0" w:type="dxa"/>
            </w:tcMar>
            <w:vAlign w:val="center"/>
          </w:tcPr>
          <w:p w14:paraId="01A1D6F0" w14:textId="77777777" w:rsidR="00E95A95" w:rsidRDefault="00306EB2" w:rsidP="00306EB2">
            <w:pPr>
              <w:keepNext/>
              <w:keepLines/>
              <w:spacing w:after="0" w:line="276" w:lineRule="auto"/>
              <w:jc w:val="right"/>
            </w:pPr>
            <w:r>
              <w:rPr>
                <w:b/>
                <w:sz w:val="18"/>
              </w:rPr>
              <w:t>73.636,51</w:t>
            </w:r>
          </w:p>
        </w:tc>
        <w:tc>
          <w:tcPr>
            <w:tcW w:w="700" w:type="dxa"/>
            <w:tcMar>
              <w:top w:w="0" w:type="dxa"/>
              <w:bottom w:w="0" w:type="dxa"/>
            </w:tcMar>
            <w:vAlign w:val="center"/>
          </w:tcPr>
          <w:p w14:paraId="38BF5E53" w14:textId="77777777" w:rsidR="00E95A95" w:rsidRDefault="00306EB2" w:rsidP="00306EB2">
            <w:pPr>
              <w:keepNext/>
              <w:keepLines/>
              <w:spacing w:after="0" w:line="276" w:lineRule="auto"/>
              <w:jc w:val="right"/>
            </w:pPr>
            <w:r>
              <w:rPr>
                <w:b/>
                <w:sz w:val="18"/>
              </w:rPr>
              <w:t>87,3</w:t>
            </w:r>
          </w:p>
        </w:tc>
      </w:tr>
      <w:tr w:rsidR="00E95A95" w14:paraId="0BC09F47" w14:textId="77777777">
        <w:trPr>
          <w:cantSplit/>
          <w:trHeight w:val="560"/>
        </w:trPr>
        <w:tc>
          <w:tcPr>
            <w:tcW w:w="700" w:type="dxa"/>
            <w:tcMar>
              <w:top w:w="0" w:type="dxa"/>
              <w:bottom w:w="0" w:type="dxa"/>
            </w:tcMar>
            <w:vAlign w:val="center"/>
          </w:tcPr>
          <w:p w14:paraId="2B4432E8" w14:textId="77777777" w:rsidR="00E95A95" w:rsidRDefault="00306EB2" w:rsidP="00306EB2">
            <w:pPr>
              <w:keepNext/>
              <w:keepLines/>
              <w:spacing w:after="0" w:line="276" w:lineRule="auto"/>
            </w:pPr>
            <w:r>
              <w:rPr>
                <w:sz w:val="18"/>
              </w:rPr>
              <w:t>8</w:t>
            </w:r>
          </w:p>
        </w:tc>
        <w:tc>
          <w:tcPr>
            <w:tcW w:w="3180" w:type="dxa"/>
            <w:tcMar>
              <w:top w:w="0" w:type="dxa"/>
              <w:bottom w:w="0" w:type="dxa"/>
            </w:tcMar>
            <w:vAlign w:val="center"/>
          </w:tcPr>
          <w:p w14:paraId="7261A726" w14:textId="77777777" w:rsidR="00E95A95" w:rsidRDefault="00306EB2" w:rsidP="00306EB2">
            <w:pPr>
              <w:keepNext/>
              <w:keepLines/>
              <w:spacing w:after="0" w:line="276" w:lineRule="auto"/>
            </w:pPr>
            <w:r>
              <w:rPr>
                <w:sz w:val="18"/>
              </w:rPr>
              <w:t>Primici od financijske imovine i zaduživanja (šifre 81+82+83+84+85)</w:t>
            </w:r>
          </w:p>
        </w:tc>
        <w:tc>
          <w:tcPr>
            <w:tcW w:w="700" w:type="dxa"/>
            <w:tcMar>
              <w:top w:w="0" w:type="dxa"/>
              <w:bottom w:w="0" w:type="dxa"/>
            </w:tcMar>
            <w:vAlign w:val="center"/>
          </w:tcPr>
          <w:p w14:paraId="275657D7" w14:textId="77777777" w:rsidR="00E95A95" w:rsidRDefault="00306EB2" w:rsidP="00306EB2">
            <w:pPr>
              <w:keepNext/>
              <w:keepLines/>
              <w:spacing w:after="0" w:line="276" w:lineRule="auto"/>
            </w:pPr>
            <w:r>
              <w:rPr>
                <w:sz w:val="18"/>
              </w:rPr>
              <w:t>8</w:t>
            </w:r>
          </w:p>
        </w:tc>
        <w:tc>
          <w:tcPr>
            <w:tcW w:w="1860" w:type="dxa"/>
            <w:tcMar>
              <w:top w:w="0" w:type="dxa"/>
              <w:bottom w:w="0" w:type="dxa"/>
            </w:tcMar>
            <w:vAlign w:val="center"/>
          </w:tcPr>
          <w:p w14:paraId="36749079" w14:textId="77777777" w:rsidR="00E95A95" w:rsidRDefault="00306EB2" w:rsidP="00306EB2">
            <w:pPr>
              <w:keepNext/>
              <w:keepLines/>
              <w:spacing w:after="0" w:line="276" w:lineRule="auto"/>
              <w:jc w:val="right"/>
            </w:pPr>
            <w:r>
              <w:rPr>
                <w:sz w:val="18"/>
              </w:rPr>
              <w:t>0,00</w:t>
            </w:r>
          </w:p>
        </w:tc>
        <w:tc>
          <w:tcPr>
            <w:tcW w:w="1860" w:type="dxa"/>
            <w:tcMar>
              <w:top w:w="0" w:type="dxa"/>
              <w:bottom w:w="0" w:type="dxa"/>
            </w:tcMar>
            <w:vAlign w:val="center"/>
          </w:tcPr>
          <w:p w14:paraId="30D742BB" w14:textId="77777777" w:rsidR="00E95A95" w:rsidRDefault="00306EB2" w:rsidP="00306EB2">
            <w:pPr>
              <w:keepNext/>
              <w:keepLines/>
              <w:spacing w:after="0" w:line="276" w:lineRule="auto"/>
              <w:jc w:val="right"/>
            </w:pPr>
            <w:r>
              <w:rPr>
                <w:sz w:val="18"/>
              </w:rPr>
              <w:t>0,00</w:t>
            </w:r>
          </w:p>
        </w:tc>
        <w:tc>
          <w:tcPr>
            <w:tcW w:w="700" w:type="dxa"/>
            <w:tcMar>
              <w:top w:w="0" w:type="dxa"/>
              <w:bottom w:w="0" w:type="dxa"/>
            </w:tcMar>
            <w:vAlign w:val="center"/>
          </w:tcPr>
          <w:p w14:paraId="4D27D26E" w14:textId="77777777" w:rsidR="00E95A95" w:rsidRDefault="00306EB2" w:rsidP="00306EB2">
            <w:pPr>
              <w:keepNext/>
              <w:keepLines/>
              <w:spacing w:after="0" w:line="276" w:lineRule="auto"/>
              <w:jc w:val="right"/>
            </w:pPr>
            <w:r>
              <w:rPr>
                <w:sz w:val="18"/>
              </w:rPr>
              <w:t>-</w:t>
            </w:r>
          </w:p>
        </w:tc>
      </w:tr>
      <w:tr w:rsidR="00E95A95" w14:paraId="00ADD0B5" w14:textId="77777777">
        <w:trPr>
          <w:cantSplit/>
          <w:trHeight w:val="560"/>
        </w:trPr>
        <w:tc>
          <w:tcPr>
            <w:tcW w:w="700" w:type="dxa"/>
            <w:tcMar>
              <w:top w:w="0" w:type="dxa"/>
              <w:bottom w:w="0" w:type="dxa"/>
            </w:tcMar>
            <w:vAlign w:val="center"/>
          </w:tcPr>
          <w:p w14:paraId="77AB2E0C" w14:textId="77777777" w:rsidR="00E95A95" w:rsidRDefault="00306EB2" w:rsidP="00306EB2">
            <w:pPr>
              <w:keepNext/>
              <w:keepLines/>
              <w:spacing w:after="0" w:line="276" w:lineRule="auto"/>
            </w:pPr>
            <w:r>
              <w:rPr>
                <w:sz w:val="18"/>
              </w:rPr>
              <w:t>5</w:t>
            </w:r>
          </w:p>
        </w:tc>
        <w:tc>
          <w:tcPr>
            <w:tcW w:w="3180" w:type="dxa"/>
            <w:tcMar>
              <w:top w:w="0" w:type="dxa"/>
              <w:bottom w:w="0" w:type="dxa"/>
            </w:tcMar>
            <w:vAlign w:val="center"/>
          </w:tcPr>
          <w:p w14:paraId="7D127898" w14:textId="77777777" w:rsidR="00E95A95" w:rsidRDefault="00306EB2" w:rsidP="00306EB2">
            <w:pPr>
              <w:keepNext/>
              <w:keepLines/>
              <w:spacing w:after="0" w:line="276" w:lineRule="auto"/>
            </w:pPr>
            <w:r>
              <w:rPr>
                <w:sz w:val="18"/>
              </w:rPr>
              <w:t>Izdaci za financijsku imovinu i otplate zajmova (šifre 51+52+53+54+55)</w:t>
            </w:r>
          </w:p>
        </w:tc>
        <w:tc>
          <w:tcPr>
            <w:tcW w:w="700" w:type="dxa"/>
            <w:tcMar>
              <w:top w:w="0" w:type="dxa"/>
              <w:bottom w:w="0" w:type="dxa"/>
            </w:tcMar>
            <w:vAlign w:val="center"/>
          </w:tcPr>
          <w:p w14:paraId="48A95156" w14:textId="77777777" w:rsidR="00E95A95" w:rsidRDefault="00306EB2" w:rsidP="00306EB2">
            <w:pPr>
              <w:keepNext/>
              <w:keepLines/>
              <w:spacing w:after="0" w:line="276" w:lineRule="auto"/>
            </w:pPr>
            <w:r>
              <w:rPr>
                <w:sz w:val="18"/>
              </w:rPr>
              <w:t>5</w:t>
            </w:r>
          </w:p>
        </w:tc>
        <w:tc>
          <w:tcPr>
            <w:tcW w:w="1860" w:type="dxa"/>
            <w:tcMar>
              <w:top w:w="0" w:type="dxa"/>
              <w:bottom w:w="0" w:type="dxa"/>
            </w:tcMar>
            <w:vAlign w:val="center"/>
          </w:tcPr>
          <w:p w14:paraId="22A21C4C" w14:textId="77777777" w:rsidR="00E95A95" w:rsidRDefault="00306EB2" w:rsidP="00306EB2">
            <w:pPr>
              <w:keepNext/>
              <w:keepLines/>
              <w:spacing w:after="0" w:line="276" w:lineRule="auto"/>
              <w:jc w:val="right"/>
            </w:pPr>
            <w:r>
              <w:rPr>
                <w:sz w:val="18"/>
              </w:rPr>
              <w:t>0,00</w:t>
            </w:r>
          </w:p>
        </w:tc>
        <w:tc>
          <w:tcPr>
            <w:tcW w:w="1860" w:type="dxa"/>
            <w:tcMar>
              <w:top w:w="0" w:type="dxa"/>
              <w:bottom w:w="0" w:type="dxa"/>
            </w:tcMar>
            <w:vAlign w:val="center"/>
          </w:tcPr>
          <w:p w14:paraId="40245119" w14:textId="77777777" w:rsidR="00E95A95" w:rsidRDefault="00306EB2" w:rsidP="00306EB2">
            <w:pPr>
              <w:keepNext/>
              <w:keepLines/>
              <w:spacing w:after="0" w:line="276" w:lineRule="auto"/>
              <w:jc w:val="right"/>
            </w:pPr>
            <w:r>
              <w:rPr>
                <w:sz w:val="18"/>
              </w:rPr>
              <w:t>0,00</w:t>
            </w:r>
          </w:p>
        </w:tc>
        <w:tc>
          <w:tcPr>
            <w:tcW w:w="700" w:type="dxa"/>
            <w:tcMar>
              <w:top w:w="0" w:type="dxa"/>
              <w:bottom w:w="0" w:type="dxa"/>
            </w:tcMar>
            <w:vAlign w:val="center"/>
          </w:tcPr>
          <w:p w14:paraId="4C47FC7B" w14:textId="77777777" w:rsidR="00E95A95" w:rsidRDefault="00306EB2" w:rsidP="00306EB2">
            <w:pPr>
              <w:keepNext/>
              <w:keepLines/>
              <w:spacing w:after="0" w:line="276" w:lineRule="auto"/>
              <w:jc w:val="right"/>
            </w:pPr>
            <w:r>
              <w:rPr>
                <w:sz w:val="18"/>
              </w:rPr>
              <w:t>-</w:t>
            </w:r>
          </w:p>
        </w:tc>
      </w:tr>
      <w:tr w:rsidR="00E95A95" w14:paraId="0CBFCE91" w14:textId="77777777">
        <w:trPr>
          <w:cantSplit/>
          <w:trHeight w:val="560"/>
        </w:trPr>
        <w:tc>
          <w:tcPr>
            <w:tcW w:w="700" w:type="dxa"/>
            <w:tcMar>
              <w:top w:w="0" w:type="dxa"/>
              <w:bottom w:w="0" w:type="dxa"/>
            </w:tcMar>
            <w:vAlign w:val="center"/>
          </w:tcPr>
          <w:p w14:paraId="272C50F3" w14:textId="77777777" w:rsidR="00E95A95" w:rsidRDefault="00E95A95" w:rsidP="00306EB2">
            <w:pPr>
              <w:keepNext/>
              <w:keepLines/>
              <w:spacing w:after="0" w:line="276" w:lineRule="auto"/>
            </w:pPr>
          </w:p>
        </w:tc>
        <w:tc>
          <w:tcPr>
            <w:tcW w:w="3180" w:type="dxa"/>
            <w:tcMar>
              <w:top w:w="0" w:type="dxa"/>
              <w:bottom w:w="0" w:type="dxa"/>
            </w:tcMar>
            <w:vAlign w:val="center"/>
          </w:tcPr>
          <w:p w14:paraId="6A2A3FA9" w14:textId="77777777" w:rsidR="00E95A95" w:rsidRDefault="00306EB2" w:rsidP="00306EB2">
            <w:pPr>
              <w:keepNext/>
              <w:keepLines/>
              <w:spacing w:after="0" w:line="276" w:lineRule="auto"/>
            </w:pPr>
            <w:r>
              <w:rPr>
                <w:b/>
                <w:sz w:val="18"/>
              </w:rPr>
              <w:t>VIŠAK/MANJAK PRIMITAKA OD FINANCIJSKE IMOVINE I ZADUŽIVANJA (šifre 8-5, 5-8)</w:t>
            </w:r>
          </w:p>
        </w:tc>
        <w:tc>
          <w:tcPr>
            <w:tcW w:w="700" w:type="dxa"/>
            <w:tcMar>
              <w:top w:w="0" w:type="dxa"/>
              <w:bottom w:w="0" w:type="dxa"/>
            </w:tcMar>
            <w:vAlign w:val="center"/>
          </w:tcPr>
          <w:p w14:paraId="71D92360" w14:textId="77777777" w:rsidR="00E95A95" w:rsidRDefault="00306EB2" w:rsidP="00306EB2">
            <w:pPr>
              <w:keepNext/>
              <w:keepLines/>
              <w:spacing w:after="0" w:line="276" w:lineRule="auto"/>
            </w:pPr>
            <w:r>
              <w:rPr>
                <w:b/>
                <w:sz w:val="18"/>
              </w:rPr>
              <w:t>X003, Y003</w:t>
            </w:r>
          </w:p>
        </w:tc>
        <w:tc>
          <w:tcPr>
            <w:tcW w:w="1860" w:type="dxa"/>
            <w:tcMar>
              <w:top w:w="0" w:type="dxa"/>
              <w:bottom w:w="0" w:type="dxa"/>
            </w:tcMar>
            <w:vAlign w:val="center"/>
          </w:tcPr>
          <w:p w14:paraId="322F0E77" w14:textId="77777777" w:rsidR="00E95A95" w:rsidRDefault="00306EB2" w:rsidP="00306EB2">
            <w:pPr>
              <w:keepNext/>
              <w:keepLines/>
              <w:spacing w:after="0" w:line="276" w:lineRule="auto"/>
              <w:jc w:val="right"/>
            </w:pPr>
            <w:r>
              <w:rPr>
                <w:b/>
                <w:sz w:val="18"/>
              </w:rPr>
              <w:t>0,00</w:t>
            </w:r>
          </w:p>
        </w:tc>
        <w:tc>
          <w:tcPr>
            <w:tcW w:w="1860" w:type="dxa"/>
            <w:tcMar>
              <w:top w:w="0" w:type="dxa"/>
              <w:bottom w:w="0" w:type="dxa"/>
            </w:tcMar>
            <w:vAlign w:val="center"/>
          </w:tcPr>
          <w:p w14:paraId="524AB6FB" w14:textId="77777777" w:rsidR="00E95A95" w:rsidRDefault="00306EB2" w:rsidP="00306EB2">
            <w:pPr>
              <w:keepNext/>
              <w:keepLines/>
              <w:spacing w:after="0" w:line="276" w:lineRule="auto"/>
              <w:jc w:val="right"/>
            </w:pPr>
            <w:r>
              <w:rPr>
                <w:b/>
                <w:sz w:val="18"/>
              </w:rPr>
              <w:t>0,00</w:t>
            </w:r>
          </w:p>
        </w:tc>
        <w:tc>
          <w:tcPr>
            <w:tcW w:w="700" w:type="dxa"/>
            <w:tcMar>
              <w:top w:w="0" w:type="dxa"/>
              <w:bottom w:w="0" w:type="dxa"/>
            </w:tcMar>
            <w:vAlign w:val="center"/>
          </w:tcPr>
          <w:p w14:paraId="175AAD87" w14:textId="77777777" w:rsidR="00E95A95" w:rsidRDefault="00306EB2" w:rsidP="00306EB2">
            <w:pPr>
              <w:keepNext/>
              <w:keepLines/>
              <w:spacing w:after="0" w:line="276" w:lineRule="auto"/>
              <w:jc w:val="right"/>
            </w:pPr>
            <w:r>
              <w:rPr>
                <w:b/>
                <w:sz w:val="18"/>
              </w:rPr>
              <w:t>-</w:t>
            </w:r>
          </w:p>
        </w:tc>
      </w:tr>
      <w:tr w:rsidR="00E95A95" w14:paraId="337F152A" w14:textId="77777777">
        <w:trPr>
          <w:cantSplit/>
          <w:trHeight w:val="560"/>
        </w:trPr>
        <w:tc>
          <w:tcPr>
            <w:tcW w:w="700" w:type="dxa"/>
            <w:tcMar>
              <w:top w:w="0" w:type="dxa"/>
              <w:bottom w:w="0" w:type="dxa"/>
            </w:tcMar>
            <w:vAlign w:val="center"/>
          </w:tcPr>
          <w:p w14:paraId="35643ED5" w14:textId="77777777" w:rsidR="00E95A95" w:rsidRDefault="00E95A95" w:rsidP="00306EB2">
            <w:pPr>
              <w:keepNext/>
              <w:keepLines/>
              <w:spacing w:after="0" w:line="276" w:lineRule="auto"/>
            </w:pPr>
          </w:p>
        </w:tc>
        <w:tc>
          <w:tcPr>
            <w:tcW w:w="3180" w:type="dxa"/>
            <w:tcMar>
              <w:top w:w="0" w:type="dxa"/>
              <w:bottom w:w="0" w:type="dxa"/>
            </w:tcMar>
            <w:vAlign w:val="center"/>
          </w:tcPr>
          <w:p w14:paraId="61CB4705" w14:textId="77777777" w:rsidR="00E95A95" w:rsidRDefault="00306EB2" w:rsidP="00306EB2">
            <w:pPr>
              <w:keepNext/>
              <w:keepLines/>
              <w:spacing w:after="0" w:line="276" w:lineRule="auto"/>
            </w:pPr>
            <w:r>
              <w:rPr>
                <w:b/>
                <w:sz w:val="18"/>
              </w:rPr>
              <w:t>MANJAK PRIHODA I PRIMITAKA (šifre Y345-X678)</w:t>
            </w:r>
          </w:p>
        </w:tc>
        <w:tc>
          <w:tcPr>
            <w:tcW w:w="700" w:type="dxa"/>
            <w:tcMar>
              <w:top w:w="0" w:type="dxa"/>
              <w:bottom w:w="0" w:type="dxa"/>
            </w:tcMar>
            <w:vAlign w:val="center"/>
          </w:tcPr>
          <w:p w14:paraId="4E707C42" w14:textId="77777777" w:rsidR="00E95A95" w:rsidRDefault="00306EB2" w:rsidP="00306EB2">
            <w:pPr>
              <w:keepNext/>
              <w:keepLines/>
              <w:spacing w:after="0" w:line="276" w:lineRule="auto"/>
            </w:pPr>
            <w:r>
              <w:rPr>
                <w:b/>
                <w:sz w:val="18"/>
              </w:rPr>
              <w:t>Y005</w:t>
            </w:r>
          </w:p>
        </w:tc>
        <w:tc>
          <w:tcPr>
            <w:tcW w:w="1860" w:type="dxa"/>
            <w:tcMar>
              <w:top w:w="0" w:type="dxa"/>
              <w:bottom w:w="0" w:type="dxa"/>
            </w:tcMar>
            <w:vAlign w:val="center"/>
          </w:tcPr>
          <w:p w14:paraId="4C5BC9F7" w14:textId="77777777" w:rsidR="00E95A95" w:rsidRDefault="00306EB2" w:rsidP="00306EB2">
            <w:pPr>
              <w:keepNext/>
              <w:keepLines/>
              <w:spacing w:after="0" w:line="276" w:lineRule="auto"/>
              <w:jc w:val="right"/>
            </w:pPr>
            <w:r>
              <w:rPr>
                <w:b/>
                <w:sz w:val="18"/>
              </w:rPr>
              <w:t>38.769,60</w:t>
            </w:r>
          </w:p>
        </w:tc>
        <w:tc>
          <w:tcPr>
            <w:tcW w:w="1860" w:type="dxa"/>
            <w:tcMar>
              <w:top w:w="0" w:type="dxa"/>
              <w:bottom w:w="0" w:type="dxa"/>
            </w:tcMar>
            <w:vAlign w:val="center"/>
          </w:tcPr>
          <w:p w14:paraId="785FE856" w14:textId="77777777" w:rsidR="00E95A95" w:rsidRDefault="00306EB2" w:rsidP="00306EB2">
            <w:pPr>
              <w:keepNext/>
              <w:keepLines/>
              <w:spacing w:after="0" w:line="276" w:lineRule="auto"/>
              <w:jc w:val="right"/>
            </w:pPr>
            <w:r>
              <w:rPr>
                <w:b/>
                <w:sz w:val="18"/>
              </w:rPr>
              <w:t>133.096,66</w:t>
            </w:r>
          </w:p>
        </w:tc>
        <w:tc>
          <w:tcPr>
            <w:tcW w:w="700" w:type="dxa"/>
            <w:tcMar>
              <w:top w:w="0" w:type="dxa"/>
              <w:bottom w:w="0" w:type="dxa"/>
            </w:tcMar>
            <w:vAlign w:val="center"/>
          </w:tcPr>
          <w:p w14:paraId="126122C2" w14:textId="77777777" w:rsidR="00E95A95" w:rsidRDefault="00306EB2" w:rsidP="00306EB2">
            <w:pPr>
              <w:keepNext/>
              <w:keepLines/>
              <w:spacing w:after="0" w:line="276" w:lineRule="auto"/>
              <w:jc w:val="right"/>
            </w:pPr>
            <w:r>
              <w:rPr>
                <w:b/>
                <w:sz w:val="18"/>
              </w:rPr>
              <w:t>343,3</w:t>
            </w:r>
          </w:p>
        </w:tc>
      </w:tr>
    </w:tbl>
    <w:p w14:paraId="2D5BB7F0" w14:textId="0204F953" w:rsidR="00E95A95" w:rsidRDefault="00E95A95" w:rsidP="00306EB2">
      <w:pPr>
        <w:spacing w:after="0" w:line="276" w:lineRule="auto"/>
      </w:pPr>
    </w:p>
    <w:p w14:paraId="13DD9855" w14:textId="3729AAAE" w:rsidR="00306EB2" w:rsidRDefault="00306EB2" w:rsidP="00306EB2">
      <w:pPr>
        <w:spacing w:after="0" w:line="276" w:lineRule="auto"/>
      </w:pPr>
    </w:p>
    <w:p w14:paraId="21345019" w14:textId="6EF1A0AD" w:rsidR="00306EB2" w:rsidRDefault="00306EB2" w:rsidP="00306EB2">
      <w:r>
        <w:br w:type="page"/>
      </w:r>
    </w:p>
    <w:p w14:paraId="1D1AEA33" w14:textId="77777777" w:rsidR="00306EB2" w:rsidRDefault="00306EB2" w:rsidP="00306EB2">
      <w:pPr>
        <w:spacing w:line="276" w:lineRule="auto"/>
        <w:jc w:val="both"/>
      </w:pPr>
    </w:p>
    <w:p w14:paraId="32AC3733" w14:textId="2C9771E8" w:rsidR="00E95A95" w:rsidRDefault="00306EB2" w:rsidP="00306EB2">
      <w:pPr>
        <w:spacing w:line="276" w:lineRule="auto"/>
        <w:jc w:val="both"/>
      </w:pPr>
      <w:r>
        <w:t>II. gimnazija posluje u skladu sa Zakonom o odgoju i obrazovanju u osnovnoj i srednjoj školi (NN 87/2008, 86/2009, 92/2010-ispr., 105/2010, 90/2011, 16/2012,  86/2012, 126/2012-pročišćeni tekst, 94/2013, 152/2014, 07/2017, 68/2018, 98/2019, 64/2020, 151/2022, 156/2023) te Statutom škole. U računovodstvenom poslovanju škole provodi se proračunsko računovodstvo na temelju Pravilnika o proračunskom računovodstvu i Računskom planu (NN 158/2023). </w:t>
      </w:r>
    </w:p>
    <w:p w14:paraId="48F9A0C8" w14:textId="77777777" w:rsidR="00306EB2" w:rsidRDefault="00306EB2" w:rsidP="00306EB2">
      <w:pPr>
        <w:spacing w:line="276" w:lineRule="auto"/>
        <w:jc w:val="both"/>
      </w:pPr>
    </w:p>
    <w:p w14:paraId="13CE5E2C" w14:textId="2B99E7C8" w:rsidR="00E95A95" w:rsidRDefault="00306EB2" w:rsidP="00306EB2">
      <w:pPr>
        <w:spacing w:line="276" w:lineRule="auto"/>
        <w:jc w:val="both"/>
      </w:pPr>
      <w:r>
        <w:t>U izvještajnom razdoblju od 01.01.2025. do 31.12.2025. godine II. gimnazija ostvarila je ukupni prihod u iznosu od 2.057.736,35 eura i ukupni rashod od 2.117.196,50 eura. Rashodi poslovanja značajno su veći od rashoda poslovanja prethodne godine iz razloga što je došlo do ukidanja podskupine 193-kontinuirani rashodi budućih razdoblja gdje su se knjižile nedospjele plaće za mjesec prosinac, a sada su knjižene kao rashod poslovanja. Stoga je prikazano da je u izvještajnom razdoblju ostvaren manjak poslovanja.</w:t>
      </w:r>
    </w:p>
    <w:p w14:paraId="4A5DB64D" w14:textId="77777777" w:rsidR="00306EB2" w:rsidRDefault="00306EB2" w:rsidP="00306EB2">
      <w:pPr>
        <w:spacing w:line="276" w:lineRule="auto"/>
        <w:jc w:val="both"/>
      </w:pPr>
    </w:p>
    <w:p w14:paraId="6EFF6BC3" w14:textId="77777777" w:rsidR="00E95A95" w:rsidRDefault="00306EB2" w:rsidP="00306EB2">
      <w:pPr>
        <w:spacing w:line="276" w:lineRule="auto"/>
        <w:jc w:val="both"/>
      </w:pPr>
      <w:r>
        <w:t>Podaci o proračunskom korisniku (Školi):</w:t>
      </w:r>
    </w:p>
    <w:p w14:paraId="57D6175E" w14:textId="77777777" w:rsidR="00E95A95" w:rsidRDefault="00306EB2" w:rsidP="00306EB2">
      <w:pPr>
        <w:spacing w:line="276" w:lineRule="auto"/>
      </w:pPr>
      <w:r>
        <w:t>Broj RKP-a:  16328</w:t>
      </w:r>
    </w:p>
    <w:p w14:paraId="4B4B50FB" w14:textId="77777777" w:rsidR="00E95A95" w:rsidRDefault="00306EB2" w:rsidP="00306EB2">
      <w:pPr>
        <w:spacing w:line="276" w:lineRule="auto"/>
      </w:pPr>
      <w:r>
        <w:t>Matični broj:  03765601</w:t>
      </w:r>
    </w:p>
    <w:p w14:paraId="236E933D" w14:textId="77777777" w:rsidR="00E95A95" w:rsidRDefault="00306EB2" w:rsidP="00306EB2">
      <w:pPr>
        <w:spacing w:line="276" w:lineRule="auto"/>
      </w:pPr>
      <w:r>
        <w:t>OIB:  42164809513</w:t>
      </w:r>
    </w:p>
    <w:p w14:paraId="64134DC5" w14:textId="77777777" w:rsidR="00E95A95" w:rsidRDefault="00306EB2" w:rsidP="00306EB2">
      <w:pPr>
        <w:spacing w:line="276" w:lineRule="auto"/>
      </w:pPr>
      <w:r>
        <w:t>Naziv obveznika:  VII. GIMNAZIJA, ZAGREB</w:t>
      </w:r>
    </w:p>
    <w:p w14:paraId="539B6AC3" w14:textId="77777777" w:rsidR="00E95A95" w:rsidRDefault="00306EB2" w:rsidP="00306EB2">
      <w:pPr>
        <w:spacing w:line="276" w:lineRule="auto"/>
      </w:pPr>
      <w:r>
        <w:t>Pošta i mjesto: 10000 ZAGREB</w:t>
      </w:r>
    </w:p>
    <w:p w14:paraId="0C5B9FC6" w14:textId="77777777" w:rsidR="00E95A95" w:rsidRDefault="00306EB2" w:rsidP="00306EB2">
      <w:pPr>
        <w:spacing w:line="276" w:lineRule="auto"/>
      </w:pPr>
      <w:r>
        <w:t>Ulica i kućni broj: KRIŽANIĆEVA 4</w:t>
      </w:r>
    </w:p>
    <w:p w14:paraId="320D15BE" w14:textId="77777777" w:rsidR="00E95A95" w:rsidRDefault="00306EB2" w:rsidP="00306EB2">
      <w:pPr>
        <w:spacing w:line="276" w:lineRule="auto"/>
      </w:pPr>
      <w:r>
        <w:t>Oznaka razine: 31</w:t>
      </w:r>
    </w:p>
    <w:p w14:paraId="3B07F74F" w14:textId="77777777" w:rsidR="00E95A95" w:rsidRDefault="00306EB2" w:rsidP="00306EB2">
      <w:pPr>
        <w:spacing w:line="276" w:lineRule="auto"/>
      </w:pPr>
      <w:r>
        <w:t>Šifra djelatnosti:  8531</w:t>
      </w:r>
    </w:p>
    <w:p w14:paraId="3BA77102" w14:textId="77777777" w:rsidR="00E95A95" w:rsidRDefault="00306EB2" w:rsidP="00306EB2">
      <w:pPr>
        <w:spacing w:line="276" w:lineRule="auto"/>
      </w:pPr>
      <w:r>
        <w:t>Razdjel: 0</w:t>
      </w:r>
    </w:p>
    <w:p w14:paraId="21A7355E" w14:textId="77777777" w:rsidR="00E95A95" w:rsidRDefault="00306EB2" w:rsidP="00306EB2">
      <w:pPr>
        <w:spacing w:line="276" w:lineRule="auto"/>
      </w:pPr>
      <w:r>
        <w:t>Šifra /grada/:  GRAD ZAGREB</w:t>
      </w:r>
    </w:p>
    <w:p w14:paraId="26B7103F" w14:textId="77777777" w:rsidR="00E95A95" w:rsidRDefault="00306EB2" w:rsidP="00306EB2">
      <w:pPr>
        <w:spacing w:line="276" w:lineRule="auto"/>
      </w:pPr>
      <w:r>
        <w:t>Žiro račun: IBAN HR4823400091100225454</w:t>
      </w:r>
    </w:p>
    <w:p w14:paraId="57F70419" w14:textId="77777777" w:rsidR="00E95A95" w:rsidRDefault="00306EB2" w:rsidP="00306EB2">
      <w:pPr>
        <w:spacing w:line="276" w:lineRule="auto"/>
      </w:pPr>
      <w:r>
        <w:br/>
      </w:r>
    </w:p>
    <w:p w14:paraId="3A650A4D" w14:textId="77777777" w:rsidR="00E95A95" w:rsidRDefault="00306EB2" w:rsidP="00306EB2">
      <w:pPr>
        <w:keepNext/>
        <w:spacing w:line="276"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555EBCBC" w14:textId="77777777">
        <w:trPr>
          <w:cantSplit/>
        </w:trPr>
        <w:tc>
          <w:tcPr>
            <w:tcW w:w="700" w:type="dxa"/>
            <w:shd w:val="clear" w:color="auto" w:fill="E7F0F9"/>
            <w:tcMar>
              <w:top w:w="0" w:type="dxa"/>
              <w:bottom w:w="0" w:type="dxa"/>
            </w:tcMar>
            <w:vAlign w:val="center"/>
          </w:tcPr>
          <w:p w14:paraId="5148EFEF"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2973FF"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2F53E51D"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40895D88"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D5F5A2"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3D2FC7" w14:textId="77777777" w:rsidR="00E95A95" w:rsidRDefault="00306EB2" w:rsidP="00306EB2">
            <w:pPr>
              <w:keepNext/>
              <w:keepLines/>
              <w:spacing w:after="0" w:line="276" w:lineRule="auto"/>
              <w:jc w:val="center"/>
            </w:pPr>
            <w:r>
              <w:rPr>
                <w:b/>
                <w:sz w:val="18"/>
              </w:rPr>
              <w:t>Indeks (%)</w:t>
            </w:r>
          </w:p>
        </w:tc>
      </w:tr>
      <w:tr w:rsidR="00E95A95" w14:paraId="38BBBBBB" w14:textId="77777777">
        <w:trPr>
          <w:cantSplit/>
          <w:trHeight w:val="560"/>
        </w:trPr>
        <w:tc>
          <w:tcPr>
            <w:tcW w:w="700" w:type="dxa"/>
            <w:tcMar>
              <w:top w:w="0" w:type="dxa"/>
              <w:bottom w:w="0" w:type="dxa"/>
            </w:tcMar>
            <w:vAlign w:val="center"/>
          </w:tcPr>
          <w:p w14:paraId="2E7B512A" w14:textId="77777777" w:rsidR="00E95A95" w:rsidRDefault="00306EB2" w:rsidP="00306EB2">
            <w:pPr>
              <w:keepNext/>
              <w:keepLines/>
              <w:spacing w:after="0" w:line="276" w:lineRule="auto"/>
            </w:pPr>
            <w:r>
              <w:rPr>
                <w:sz w:val="18"/>
              </w:rPr>
              <w:t>6</w:t>
            </w:r>
          </w:p>
        </w:tc>
        <w:tc>
          <w:tcPr>
            <w:tcW w:w="3180" w:type="dxa"/>
            <w:tcMar>
              <w:top w:w="0" w:type="dxa"/>
              <w:bottom w:w="0" w:type="dxa"/>
            </w:tcMar>
            <w:vAlign w:val="center"/>
          </w:tcPr>
          <w:p w14:paraId="4BE57C11" w14:textId="77777777" w:rsidR="00E95A95" w:rsidRDefault="00306EB2" w:rsidP="00306EB2">
            <w:pPr>
              <w:keepNext/>
              <w:keepLines/>
              <w:spacing w:after="0" w:line="276" w:lineRule="auto"/>
            </w:pPr>
            <w:r>
              <w:rPr>
                <w:sz w:val="18"/>
              </w:rPr>
              <w:t>PRIHODI POSLOVANJA (šifre 61+62+63+64+65+66+67+68)</w:t>
            </w:r>
          </w:p>
        </w:tc>
        <w:tc>
          <w:tcPr>
            <w:tcW w:w="700" w:type="dxa"/>
            <w:tcMar>
              <w:top w:w="0" w:type="dxa"/>
              <w:bottom w:w="0" w:type="dxa"/>
            </w:tcMar>
            <w:vAlign w:val="center"/>
          </w:tcPr>
          <w:p w14:paraId="3DD580C7" w14:textId="77777777" w:rsidR="00E95A95" w:rsidRDefault="00306EB2" w:rsidP="00306EB2">
            <w:pPr>
              <w:keepNext/>
              <w:keepLines/>
              <w:spacing w:after="0" w:line="276" w:lineRule="auto"/>
            </w:pPr>
            <w:r>
              <w:rPr>
                <w:sz w:val="18"/>
              </w:rPr>
              <w:t>6</w:t>
            </w:r>
          </w:p>
        </w:tc>
        <w:tc>
          <w:tcPr>
            <w:tcW w:w="1860" w:type="dxa"/>
            <w:tcMar>
              <w:top w:w="0" w:type="dxa"/>
              <w:bottom w:w="0" w:type="dxa"/>
            </w:tcMar>
            <w:vAlign w:val="center"/>
          </w:tcPr>
          <w:p w14:paraId="42BA1BA6" w14:textId="77777777" w:rsidR="00E95A95" w:rsidRDefault="00306EB2" w:rsidP="00306EB2">
            <w:pPr>
              <w:keepNext/>
              <w:keepLines/>
              <w:spacing w:after="0" w:line="276" w:lineRule="auto"/>
              <w:jc w:val="right"/>
            </w:pPr>
            <w:r>
              <w:rPr>
                <w:sz w:val="18"/>
              </w:rPr>
              <w:t>1.976.420,23</w:t>
            </w:r>
          </w:p>
        </w:tc>
        <w:tc>
          <w:tcPr>
            <w:tcW w:w="1860" w:type="dxa"/>
            <w:tcMar>
              <w:top w:w="0" w:type="dxa"/>
              <w:bottom w:w="0" w:type="dxa"/>
            </w:tcMar>
            <w:vAlign w:val="center"/>
          </w:tcPr>
          <w:p w14:paraId="78C38279" w14:textId="77777777" w:rsidR="00E95A95" w:rsidRDefault="00306EB2" w:rsidP="00306EB2">
            <w:pPr>
              <w:keepNext/>
              <w:keepLines/>
              <w:spacing w:after="0" w:line="276" w:lineRule="auto"/>
              <w:jc w:val="right"/>
            </w:pPr>
            <w:r>
              <w:rPr>
                <w:sz w:val="18"/>
              </w:rPr>
              <w:t>2.057.736,35</w:t>
            </w:r>
          </w:p>
        </w:tc>
        <w:tc>
          <w:tcPr>
            <w:tcW w:w="700" w:type="dxa"/>
            <w:tcMar>
              <w:top w:w="0" w:type="dxa"/>
              <w:bottom w:w="0" w:type="dxa"/>
            </w:tcMar>
            <w:vAlign w:val="center"/>
          </w:tcPr>
          <w:p w14:paraId="7F714D9F" w14:textId="77777777" w:rsidR="00E95A95" w:rsidRDefault="00306EB2" w:rsidP="00306EB2">
            <w:pPr>
              <w:keepNext/>
              <w:keepLines/>
              <w:spacing w:after="0" w:line="276" w:lineRule="auto"/>
              <w:jc w:val="right"/>
            </w:pPr>
            <w:r>
              <w:rPr>
                <w:sz w:val="18"/>
              </w:rPr>
              <w:t>104,1</w:t>
            </w:r>
          </w:p>
        </w:tc>
      </w:tr>
    </w:tbl>
    <w:p w14:paraId="151DCF3A" w14:textId="77777777" w:rsidR="00E95A95" w:rsidRDefault="00E95A95" w:rsidP="00306EB2">
      <w:pPr>
        <w:spacing w:after="0" w:line="276" w:lineRule="auto"/>
      </w:pPr>
    </w:p>
    <w:p w14:paraId="33A392D4" w14:textId="77777777" w:rsidR="00E95A95" w:rsidRDefault="00306EB2" w:rsidP="00306EB2">
      <w:pPr>
        <w:spacing w:line="276" w:lineRule="auto"/>
      </w:pPr>
      <w:r>
        <w:t>Ukupni prihodi poslovanja u izvještajnom razdoblju iznose 2.057.736,35 eura što je 4,1% veći iznos prihoda od iznosa u izvještajnom razdoblju prethodne godine.</w:t>
      </w:r>
    </w:p>
    <w:p w14:paraId="25448FAE" w14:textId="77777777" w:rsidR="00E95A95" w:rsidRDefault="00E95A95" w:rsidP="00306EB2">
      <w:pPr>
        <w:spacing w:line="276" w:lineRule="auto"/>
      </w:pPr>
    </w:p>
    <w:p w14:paraId="5248D6AF" w14:textId="77777777" w:rsidR="00E95A95" w:rsidRDefault="00306EB2" w:rsidP="00306EB2">
      <w:pPr>
        <w:keepNext/>
        <w:spacing w:line="276"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0BE72216" w14:textId="77777777">
        <w:trPr>
          <w:cantSplit/>
        </w:trPr>
        <w:tc>
          <w:tcPr>
            <w:tcW w:w="700" w:type="dxa"/>
            <w:shd w:val="clear" w:color="auto" w:fill="E7F0F9"/>
            <w:tcMar>
              <w:top w:w="0" w:type="dxa"/>
              <w:bottom w:w="0" w:type="dxa"/>
            </w:tcMar>
            <w:vAlign w:val="center"/>
          </w:tcPr>
          <w:p w14:paraId="4F60D48F"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C75BBF"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0B179A83"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238F4B30"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4441BC"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9AA636" w14:textId="77777777" w:rsidR="00E95A95" w:rsidRDefault="00306EB2" w:rsidP="00306EB2">
            <w:pPr>
              <w:keepNext/>
              <w:keepLines/>
              <w:spacing w:after="0" w:line="276" w:lineRule="auto"/>
              <w:jc w:val="center"/>
            </w:pPr>
            <w:r>
              <w:rPr>
                <w:b/>
                <w:sz w:val="18"/>
              </w:rPr>
              <w:t>Indeks (%)</w:t>
            </w:r>
          </w:p>
        </w:tc>
      </w:tr>
      <w:tr w:rsidR="00E95A95" w14:paraId="26431D0A" w14:textId="77777777">
        <w:trPr>
          <w:cantSplit/>
          <w:trHeight w:val="560"/>
        </w:trPr>
        <w:tc>
          <w:tcPr>
            <w:tcW w:w="700" w:type="dxa"/>
            <w:tcMar>
              <w:top w:w="0" w:type="dxa"/>
              <w:bottom w:w="0" w:type="dxa"/>
            </w:tcMar>
            <w:vAlign w:val="center"/>
          </w:tcPr>
          <w:p w14:paraId="3D136FDF" w14:textId="77777777" w:rsidR="00E95A95" w:rsidRDefault="00306EB2" w:rsidP="00306EB2">
            <w:pPr>
              <w:keepNext/>
              <w:keepLines/>
              <w:spacing w:after="0" w:line="276" w:lineRule="auto"/>
            </w:pPr>
            <w:r>
              <w:rPr>
                <w:sz w:val="18"/>
              </w:rPr>
              <w:t>636</w:t>
            </w:r>
          </w:p>
        </w:tc>
        <w:tc>
          <w:tcPr>
            <w:tcW w:w="3180" w:type="dxa"/>
            <w:tcMar>
              <w:top w:w="0" w:type="dxa"/>
              <w:bottom w:w="0" w:type="dxa"/>
            </w:tcMar>
            <w:vAlign w:val="center"/>
          </w:tcPr>
          <w:p w14:paraId="2DB79B99" w14:textId="77777777" w:rsidR="00E95A95" w:rsidRDefault="00306EB2" w:rsidP="00306EB2">
            <w:pPr>
              <w:keepNext/>
              <w:keepLines/>
              <w:spacing w:after="0" w:line="276" w:lineRule="auto"/>
            </w:pPr>
            <w:r>
              <w:rPr>
                <w:sz w:val="18"/>
              </w:rPr>
              <w:t>Pomoći proračunskim korisnicima iz proračuna koji im nije nadležan (šifre 6361+6362)</w:t>
            </w:r>
          </w:p>
        </w:tc>
        <w:tc>
          <w:tcPr>
            <w:tcW w:w="700" w:type="dxa"/>
            <w:tcMar>
              <w:top w:w="0" w:type="dxa"/>
              <w:bottom w:w="0" w:type="dxa"/>
            </w:tcMar>
            <w:vAlign w:val="center"/>
          </w:tcPr>
          <w:p w14:paraId="77D91166" w14:textId="77777777" w:rsidR="00E95A95" w:rsidRDefault="00306EB2" w:rsidP="00306EB2">
            <w:pPr>
              <w:keepNext/>
              <w:keepLines/>
              <w:spacing w:after="0" w:line="276" w:lineRule="auto"/>
            </w:pPr>
            <w:r>
              <w:rPr>
                <w:sz w:val="18"/>
              </w:rPr>
              <w:t>636</w:t>
            </w:r>
          </w:p>
        </w:tc>
        <w:tc>
          <w:tcPr>
            <w:tcW w:w="1860" w:type="dxa"/>
            <w:tcMar>
              <w:top w:w="0" w:type="dxa"/>
              <w:bottom w:w="0" w:type="dxa"/>
            </w:tcMar>
            <w:vAlign w:val="center"/>
          </w:tcPr>
          <w:p w14:paraId="5D7D6792" w14:textId="77777777" w:rsidR="00E95A95" w:rsidRDefault="00306EB2" w:rsidP="00306EB2">
            <w:pPr>
              <w:keepNext/>
              <w:keepLines/>
              <w:spacing w:after="0" w:line="276" w:lineRule="auto"/>
              <w:jc w:val="right"/>
            </w:pPr>
            <w:r>
              <w:rPr>
                <w:sz w:val="18"/>
              </w:rPr>
              <w:t>1.766.961,17</w:t>
            </w:r>
          </w:p>
        </w:tc>
        <w:tc>
          <w:tcPr>
            <w:tcW w:w="1860" w:type="dxa"/>
            <w:tcMar>
              <w:top w:w="0" w:type="dxa"/>
              <w:bottom w:w="0" w:type="dxa"/>
            </w:tcMar>
            <w:vAlign w:val="center"/>
          </w:tcPr>
          <w:p w14:paraId="2EFB2D13" w14:textId="77777777" w:rsidR="00E95A95" w:rsidRDefault="00306EB2" w:rsidP="00306EB2">
            <w:pPr>
              <w:keepNext/>
              <w:keepLines/>
              <w:spacing w:after="0" w:line="276" w:lineRule="auto"/>
              <w:jc w:val="right"/>
            </w:pPr>
            <w:r>
              <w:rPr>
                <w:sz w:val="18"/>
              </w:rPr>
              <w:t>1.820.927,44</w:t>
            </w:r>
          </w:p>
        </w:tc>
        <w:tc>
          <w:tcPr>
            <w:tcW w:w="700" w:type="dxa"/>
            <w:tcMar>
              <w:top w:w="0" w:type="dxa"/>
              <w:bottom w:w="0" w:type="dxa"/>
            </w:tcMar>
            <w:vAlign w:val="center"/>
          </w:tcPr>
          <w:p w14:paraId="74FCEDFE" w14:textId="77777777" w:rsidR="00E95A95" w:rsidRDefault="00306EB2" w:rsidP="00306EB2">
            <w:pPr>
              <w:keepNext/>
              <w:keepLines/>
              <w:spacing w:after="0" w:line="276" w:lineRule="auto"/>
              <w:jc w:val="right"/>
            </w:pPr>
            <w:r>
              <w:rPr>
                <w:sz w:val="18"/>
              </w:rPr>
              <w:t>103,1</w:t>
            </w:r>
          </w:p>
        </w:tc>
      </w:tr>
    </w:tbl>
    <w:p w14:paraId="77BDD488" w14:textId="77777777" w:rsidR="00E95A95" w:rsidRDefault="00E95A95" w:rsidP="00306EB2">
      <w:pPr>
        <w:spacing w:after="0" w:line="276" w:lineRule="auto"/>
      </w:pPr>
    </w:p>
    <w:p w14:paraId="488F65AF" w14:textId="77777777" w:rsidR="00E95A95" w:rsidRDefault="00306EB2" w:rsidP="00306EB2">
      <w:pPr>
        <w:spacing w:line="276" w:lineRule="auto"/>
        <w:jc w:val="both"/>
      </w:pPr>
      <w:r>
        <w:t xml:space="preserve">Prihod MZOM-a za plaće i materijalna prava zaposlenih, mentorstvo, tekuće pomoći za </w:t>
      </w:r>
      <w:proofErr w:type="spellStart"/>
      <w:r>
        <w:t>izvanučioničku</w:t>
      </w:r>
      <w:proofErr w:type="spellEnd"/>
      <w:r>
        <w:t xml:space="preserve"> nastavu učenice iz Ukrajine, prihod za menstrualne potrepštine, pomoć za  financiranje sudjelovanja učenice na Svjetskom srednjoškolskom debatnom prvenstvu u Panami. Uključuje prihode za projekt Druga </w:t>
      </w:r>
      <w:proofErr w:type="spellStart"/>
      <w:r>
        <w:t>runners</w:t>
      </w:r>
      <w:proofErr w:type="spellEnd"/>
      <w:r>
        <w:t xml:space="preserve"> i Psiho-dijagnostička sredstva. Ostvareno je 1.820.927,44 eura što je za 3% više u odnosu na prethodnu godinu.</w:t>
      </w:r>
    </w:p>
    <w:p w14:paraId="403CC337" w14:textId="77777777" w:rsidR="00E95A95" w:rsidRDefault="00E95A95" w:rsidP="00306EB2">
      <w:pPr>
        <w:spacing w:line="276" w:lineRule="auto"/>
      </w:pPr>
    </w:p>
    <w:p w14:paraId="7619EA3F" w14:textId="77777777" w:rsidR="00E95A95" w:rsidRDefault="00306EB2" w:rsidP="00306EB2">
      <w:pPr>
        <w:keepNext/>
        <w:spacing w:line="276"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7B6DA13A" w14:textId="77777777">
        <w:trPr>
          <w:cantSplit/>
        </w:trPr>
        <w:tc>
          <w:tcPr>
            <w:tcW w:w="700" w:type="dxa"/>
            <w:shd w:val="clear" w:color="auto" w:fill="E7F0F9"/>
            <w:tcMar>
              <w:top w:w="0" w:type="dxa"/>
              <w:bottom w:w="0" w:type="dxa"/>
            </w:tcMar>
            <w:vAlign w:val="center"/>
          </w:tcPr>
          <w:p w14:paraId="5B3C67D9"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68DE81"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4D2CB934"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47C9DE86"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AA455"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2F08B3" w14:textId="77777777" w:rsidR="00E95A95" w:rsidRDefault="00306EB2" w:rsidP="00306EB2">
            <w:pPr>
              <w:keepNext/>
              <w:keepLines/>
              <w:spacing w:after="0" w:line="276" w:lineRule="auto"/>
              <w:jc w:val="center"/>
            </w:pPr>
            <w:r>
              <w:rPr>
                <w:b/>
                <w:sz w:val="18"/>
              </w:rPr>
              <w:t>Indeks (%)</w:t>
            </w:r>
          </w:p>
        </w:tc>
      </w:tr>
      <w:tr w:rsidR="00E95A95" w14:paraId="715E9CD5" w14:textId="77777777">
        <w:trPr>
          <w:cantSplit/>
          <w:trHeight w:val="560"/>
        </w:trPr>
        <w:tc>
          <w:tcPr>
            <w:tcW w:w="700" w:type="dxa"/>
            <w:tcMar>
              <w:top w:w="0" w:type="dxa"/>
              <w:bottom w:w="0" w:type="dxa"/>
            </w:tcMar>
            <w:vAlign w:val="center"/>
          </w:tcPr>
          <w:p w14:paraId="37CF24FB" w14:textId="77777777" w:rsidR="00E95A95" w:rsidRDefault="00306EB2" w:rsidP="00306EB2">
            <w:pPr>
              <w:keepNext/>
              <w:keepLines/>
              <w:spacing w:after="0" w:line="276" w:lineRule="auto"/>
            </w:pPr>
            <w:r>
              <w:rPr>
                <w:sz w:val="18"/>
              </w:rPr>
              <w:t>6393</w:t>
            </w:r>
          </w:p>
        </w:tc>
        <w:tc>
          <w:tcPr>
            <w:tcW w:w="3180" w:type="dxa"/>
            <w:tcMar>
              <w:top w:w="0" w:type="dxa"/>
              <w:bottom w:w="0" w:type="dxa"/>
            </w:tcMar>
            <w:vAlign w:val="center"/>
          </w:tcPr>
          <w:p w14:paraId="20CA9537" w14:textId="77777777" w:rsidR="00E95A95" w:rsidRDefault="00306EB2" w:rsidP="00306EB2">
            <w:pPr>
              <w:keepNext/>
              <w:keepLines/>
              <w:spacing w:after="0" w:line="276" w:lineRule="auto"/>
            </w:pPr>
            <w:r>
              <w:rPr>
                <w:sz w:val="18"/>
              </w:rPr>
              <w:t>Tekući prijenosi između proračunskih korisnika istog proračuna temeljem prijenosa EU sredstava</w:t>
            </w:r>
          </w:p>
        </w:tc>
        <w:tc>
          <w:tcPr>
            <w:tcW w:w="700" w:type="dxa"/>
            <w:tcMar>
              <w:top w:w="0" w:type="dxa"/>
              <w:bottom w:w="0" w:type="dxa"/>
            </w:tcMar>
            <w:vAlign w:val="center"/>
          </w:tcPr>
          <w:p w14:paraId="16CB2544" w14:textId="77777777" w:rsidR="00E95A95" w:rsidRDefault="00306EB2" w:rsidP="00306EB2">
            <w:pPr>
              <w:keepNext/>
              <w:keepLines/>
              <w:spacing w:after="0" w:line="276" w:lineRule="auto"/>
            </w:pPr>
            <w:r>
              <w:rPr>
                <w:sz w:val="18"/>
              </w:rPr>
              <w:t>6393</w:t>
            </w:r>
          </w:p>
        </w:tc>
        <w:tc>
          <w:tcPr>
            <w:tcW w:w="1860" w:type="dxa"/>
            <w:tcMar>
              <w:top w:w="0" w:type="dxa"/>
              <w:bottom w:w="0" w:type="dxa"/>
            </w:tcMar>
            <w:vAlign w:val="center"/>
          </w:tcPr>
          <w:p w14:paraId="0A6163B8" w14:textId="77777777" w:rsidR="00E95A95" w:rsidRDefault="00306EB2" w:rsidP="00306EB2">
            <w:pPr>
              <w:keepNext/>
              <w:keepLines/>
              <w:spacing w:after="0" w:line="276" w:lineRule="auto"/>
              <w:jc w:val="right"/>
            </w:pPr>
            <w:r>
              <w:rPr>
                <w:sz w:val="18"/>
              </w:rPr>
              <w:t>2.644,87</w:t>
            </w:r>
          </w:p>
        </w:tc>
        <w:tc>
          <w:tcPr>
            <w:tcW w:w="1860" w:type="dxa"/>
            <w:tcMar>
              <w:top w:w="0" w:type="dxa"/>
              <w:bottom w:w="0" w:type="dxa"/>
            </w:tcMar>
            <w:vAlign w:val="center"/>
          </w:tcPr>
          <w:p w14:paraId="553B3E4B" w14:textId="77777777" w:rsidR="00E95A95" w:rsidRDefault="00306EB2" w:rsidP="00306EB2">
            <w:pPr>
              <w:keepNext/>
              <w:keepLines/>
              <w:spacing w:after="0" w:line="276" w:lineRule="auto"/>
              <w:jc w:val="right"/>
            </w:pPr>
            <w:r>
              <w:rPr>
                <w:sz w:val="18"/>
              </w:rPr>
              <w:t>3.621,54</w:t>
            </w:r>
          </w:p>
        </w:tc>
        <w:tc>
          <w:tcPr>
            <w:tcW w:w="700" w:type="dxa"/>
            <w:tcMar>
              <w:top w:w="0" w:type="dxa"/>
              <w:bottom w:w="0" w:type="dxa"/>
            </w:tcMar>
            <w:vAlign w:val="center"/>
          </w:tcPr>
          <w:p w14:paraId="5CD1A2C7" w14:textId="77777777" w:rsidR="00E95A95" w:rsidRDefault="00306EB2" w:rsidP="00306EB2">
            <w:pPr>
              <w:keepNext/>
              <w:keepLines/>
              <w:spacing w:after="0" w:line="276" w:lineRule="auto"/>
              <w:jc w:val="right"/>
            </w:pPr>
            <w:r>
              <w:rPr>
                <w:sz w:val="18"/>
              </w:rPr>
              <w:t>136,9</w:t>
            </w:r>
          </w:p>
        </w:tc>
      </w:tr>
    </w:tbl>
    <w:p w14:paraId="55B390D6" w14:textId="77777777" w:rsidR="00E95A95" w:rsidRDefault="00E95A95" w:rsidP="00306EB2">
      <w:pPr>
        <w:spacing w:after="0" w:line="276" w:lineRule="auto"/>
      </w:pPr>
    </w:p>
    <w:p w14:paraId="732C3792" w14:textId="08278F3A" w:rsidR="00E95A95" w:rsidRDefault="00306EB2" w:rsidP="00306EB2">
      <w:pPr>
        <w:spacing w:line="276" w:lineRule="auto"/>
        <w:jc w:val="both"/>
      </w:pPr>
      <w:r>
        <w:t>Prihod osnivača za provedbu projekta Shema školskog voća iznosi 3.621,54 eura što je za 36,9% više prihoda od prethodne godine.</w:t>
      </w:r>
    </w:p>
    <w:p w14:paraId="025CD128" w14:textId="77777777" w:rsidR="00E95A95" w:rsidRDefault="00306EB2" w:rsidP="00306EB2">
      <w:pPr>
        <w:keepNext/>
        <w:spacing w:line="276"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496C6E4F" w14:textId="77777777">
        <w:trPr>
          <w:cantSplit/>
        </w:trPr>
        <w:tc>
          <w:tcPr>
            <w:tcW w:w="700" w:type="dxa"/>
            <w:shd w:val="clear" w:color="auto" w:fill="E7F0F9"/>
            <w:tcMar>
              <w:top w:w="0" w:type="dxa"/>
              <w:bottom w:w="0" w:type="dxa"/>
            </w:tcMar>
            <w:vAlign w:val="center"/>
          </w:tcPr>
          <w:p w14:paraId="3DD09B69"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E6E79D"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63501BB2"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13435535"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28880E"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F84499" w14:textId="77777777" w:rsidR="00E95A95" w:rsidRDefault="00306EB2" w:rsidP="00306EB2">
            <w:pPr>
              <w:keepNext/>
              <w:keepLines/>
              <w:spacing w:after="0" w:line="276" w:lineRule="auto"/>
              <w:jc w:val="center"/>
            </w:pPr>
            <w:r>
              <w:rPr>
                <w:b/>
                <w:sz w:val="18"/>
              </w:rPr>
              <w:t>Indeks (%)</w:t>
            </w:r>
          </w:p>
        </w:tc>
      </w:tr>
      <w:tr w:rsidR="00E95A95" w14:paraId="0C384B99" w14:textId="77777777">
        <w:trPr>
          <w:cantSplit/>
          <w:trHeight w:val="560"/>
        </w:trPr>
        <w:tc>
          <w:tcPr>
            <w:tcW w:w="700" w:type="dxa"/>
            <w:tcMar>
              <w:top w:w="0" w:type="dxa"/>
              <w:bottom w:w="0" w:type="dxa"/>
            </w:tcMar>
            <w:vAlign w:val="center"/>
          </w:tcPr>
          <w:p w14:paraId="5FD0A689" w14:textId="77777777" w:rsidR="00E95A95" w:rsidRDefault="00306EB2" w:rsidP="00306EB2">
            <w:pPr>
              <w:keepNext/>
              <w:keepLines/>
              <w:spacing w:after="0" w:line="276" w:lineRule="auto"/>
            </w:pPr>
            <w:r>
              <w:rPr>
                <w:sz w:val="18"/>
              </w:rPr>
              <w:t>641</w:t>
            </w:r>
          </w:p>
        </w:tc>
        <w:tc>
          <w:tcPr>
            <w:tcW w:w="3180" w:type="dxa"/>
            <w:tcMar>
              <w:top w:w="0" w:type="dxa"/>
              <w:bottom w:w="0" w:type="dxa"/>
            </w:tcMar>
            <w:vAlign w:val="center"/>
          </w:tcPr>
          <w:p w14:paraId="6291CDCE" w14:textId="77777777" w:rsidR="00E95A95" w:rsidRDefault="00306EB2" w:rsidP="00306EB2">
            <w:pPr>
              <w:keepNext/>
              <w:keepLines/>
              <w:spacing w:after="0" w:line="276" w:lineRule="auto"/>
            </w:pPr>
            <w:r>
              <w:rPr>
                <w:sz w:val="18"/>
              </w:rPr>
              <w:t>Prihodi od financijske imovine (šifre 6412 do 6419)</w:t>
            </w:r>
          </w:p>
        </w:tc>
        <w:tc>
          <w:tcPr>
            <w:tcW w:w="700" w:type="dxa"/>
            <w:tcMar>
              <w:top w:w="0" w:type="dxa"/>
              <w:bottom w:w="0" w:type="dxa"/>
            </w:tcMar>
            <w:vAlign w:val="center"/>
          </w:tcPr>
          <w:p w14:paraId="0E91313B" w14:textId="77777777" w:rsidR="00E95A95" w:rsidRDefault="00306EB2" w:rsidP="00306EB2">
            <w:pPr>
              <w:keepNext/>
              <w:keepLines/>
              <w:spacing w:after="0" w:line="276" w:lineRule="auto"/>
            </w:pPr>
            <w:r>
              <w:rPr>
                <w:sz w:val="18"/>
              </w:rPr>
              <w:t>641</w:t>
            </w:r>
          </w:p>
        </w:tc>
        <w:tc>
          <w:tcPr>
            <w:tcW w:w="1860" w:type="dxa"/>
            <w:tcMar>
              <w:top w:w="0" w:type="dxa"/>
              <w:bottom w:w="0" w:type="dxa"/>
            </w:tcMar>
            <w:vAlign w:val="center"/>
          </w:tcPr>
          <w:p w14:paraId="731A4C4B" w14:textId="77777777" w:rsidR="00E95A95" w:rsidRDefault="00306EB2" w:rsidP="00306EB2">
            <w:pPr>
              <w:keepNext/>
              <w:keepLines/>
              <w:spacing w:after="0" w:line="276" w:lineRule="auto"/>
              <w:jc w:val="right"/>
            </w:pPr>
            <w:r>
              <w:rPr>
                <w:sz w:val="18"/>
              </w:rPr>
              <w:t>55,69</w:t>
            </w:r>
          </w:p>
        </w:tc>
        <w:tc>
          <w:tcPr>
            <w:tcW w:w="1860" w:type="dxa"/>
            <w:tcMar>
              <w:top w:w="0" w:type="dxa"/>
              <w:bottom w:w="0" w:type="dxa"/>
            </w:tcMar>
            <w:vAlign w:val="center"/>
          </w:tcPr>
          <w:p w14:paraId="52EDCB5C" w14:textId="77777777" w:rsidR="00E95A95" w:rsidRDefault="00306EB2" w:rsidP="00306EB2">
            <w:pPr>
              <w:keepNext/>
              <w:keepLines/>
              <w:spacing w:after="0" w:line="276" w:lineRule="auto"/>
              <w:jc w:val="right"/>
            </w:pPr>
            <w:r>
              <w:rPr>
                <w:sz w:val="18"/>
              </w:rPr>
              <w:t>12,74</w:t>
            </w:r>
          </w:p>
        </w:tc>
        <w:tc>
          <w:tcPr>
            <w:tcW w:w="700" w:type="dxa"/>
            <w:tcMar>
              <w:top w:w="0" w:type="dxa"/>
              <w:bottom w:w="0" w:type="dxa"/>
            </w:tcMar>
            <w:vAlign w:val="center"/>
          </w:tcPr>
          <w:p w14:paraId="079F7AD7" w14:textId="77777777" w:rsidR="00E95A95" w:rsidRDefault="00306EB2" w:rsidP="00306EB2">
            <w:pPr>
              <w:keepNext/>
              <w:keepLines/>
              <w:spacing w:after="0" w:line="276" w:lineRule="auto"/>
              <w:jc w:val="right"/>
            </w:pPr>
            <w:r>
              <w:rPr>
                <w:sz w:val="18"/>
              </w:rPr>
              <w:t>22,9</w:t>
            </w:r>
          </w:p>
        </w:tc>
      </w:tr>
    </w:tbl>
    <w:p w14:paraId="66B8D69D" w14:textId="77777777" w:rsidR="00E95A95" w:rsidRDefault="00E95A95" w:rsidP="00306EB2">
      <w:pPr>
        <w:spacing w:after="0" w:line="276" w:lineRule="auto"/>
      </w:pPr>
    </w:p>
    <w:p w14:paraId="5C0E416A" w14:textId="77777777" w:rsidR="00E95A95" w:rsidRDefault="00306EB2" w:rsidP="00306EB2">
      <w:pPr>
        <w:spacing w:line="276" w:lineRule="auto"/>
        <w:jc w:val="both"/>
      </w:pPr>
      <w:r>
        <w:t>Prihod od financijske imovine manji je u odnosu na prošlu godinu, razlog je manji iznos obračunatih kamata banke na sredstva po viđenju.</w:t>
      </w:r>
    </w:p>
    <w:p w14:paraId="29F06D6E" w14:textId="77777777" w:rsidR="00E95A95" w:rsidRDefault="00E95A95" w:rsidP="00306EB2">
      <w:pPr>
        <w:spacing w:line="276" w:lineRule="auto"/>
      </w:pPr>
    </w:p>
    <w:p w14:paraId="07A2DA59" w14:textId="77777777" w:rsidR="00E95A95" w:rsidRDefault="00306EB2" w:rsidP="00306EB2">
      <w:pPr>
        <w:keepNext/>
        <w:spacing w:line="276"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71C79F36" w14:textId="77777777">
        <w:trPr>
          <w:cantSplit/>
        </w:trPr>
        <w:tc>
          <w:tcPr>
            <w:tcW w:w="700" w:type="dxa"/>
            <w:shd w:val="clear" w:color="auto" w:fill="E7F0F9"/>
            <w:tcMar>
              <w:top w:w="0" w:type="dxa"/>
              <w:bottom w:w="0" w:type="dxa"/>
            </w:tcMar>
            <w:vAlign w:val="center"/>
          </w:tcPr>
          <w:p w14:paraId="0D9F4374"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EB78AE"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31818640"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51081353"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DA3B55"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230018" w14:textId="77777777" w:rsidR="00E95A95" w:rsidRDefault="00306EB2" w:rsidP="00306EB2">
            <w:pPr>
              <w:keepNext/>
              <w:keepLines/>
              <w:spacing w:after="0" w:line="276" w:lineRule="auto"/>
              <w:jc w:val="center"/>
            </w:pPr>
            <w:r>
              <w:rPr>
                <w:b/>
                <w:sz w:val="18"/>
              </w:rPr>
              <w:t>Indeks (%)</w:t>
            </w:r>
          </w:p>
        </w:tc>
      </w:tr>
      <w:tr w:rsidR="00E95A95" w14:paraId="6E204D70" w14:textId="77777777">
        <w:trPr>
          <w:cantSplit/>
          <w:trHeight w:val="560"/>
        </w:trPr>
        <w:tc>
          <w:tcPr>
            <w:tcW w:w="700" w:type="dxa"/>
            <w:tcMar>
              <w:top w:w="0" w:type="dxa"/>
              <w:bottom w:w="0" w:type="dxa"/>
            </w:tcMar>
            <w:vAlign w:val="center"/>
          </w:tcPr>
          <w:p w14:paraId="1233DC9F" w14:textId="77777777" w:rsidR="00E95A95" w:rsidRDefault="00306EB2" w:rsidP="00306EB2">
            <w:pPr>
              <w:keepNext/>
              <w:keepLines/>
              <w:spacing w:after="0" w:line="276" w:lineRule="auto"/>
            </w:pPr>
            <w:r>
              <w:rPr>
                <w:sz w:val="18"/>
              </w:rPr>
              <w:t>6615</w:t>
            </w:r>
          </w:p>
        </w:tc>
        <w:tc>
          <w:tcPr>
            <w:tcW w:w="3180" w:type="dxa"/>
            <w:tcMar>
              <w:top w:w="0" w:type="dxa"/>
              <w:bottom w:w="0" w:type="dxa"/>
            </w:tcMar>
            <w:vAlign w:val="center"/>
          </w:tcPr>
          <w:p w14:paraId="6AA378EE" w14:textId="77777777" w:rsidR="00E95A95" w:rsidRDefault="00306EB2" w:rsidP="00306EB2">
            <w:pPr>
              <w:keepNext/>
              <w:keepLines/>
              <w:spacing w:after="0" w:line="276" w:lineRule="auto"/>
            </w:pPr>
            <w:r>
              <w:rPr>
                <w:sz w:val="18"/>
              </w:rPr>
              <w:t>Prihodi od pruženih usluga</w:t>
            </w:r>
          </w:p>
        </w:tc>
        <w:tc>
          <w:tcPr>
            <w:tcW w:w="700" w:type="dxa"/>
            <w:tcMar>
              <w:top w:w="0" w:type="dxa"/>
              <w:bottom w:w="0" w:type="dxa"/>
            </w:tcMar>
            <w:vAlign w:val="center"/>
          </w:tcPr>
          <w:p w14:paraId="1C633301" w14:textId="77777777" w:rsidR="00E95A95" w:rsidRDefault="00306EB2" w:rsidP="00306EB2">
            <w:pPr>
              <w:keepNext/>
              <w:keepLines/>
              <w:spacing w:after="0" w:line="276" w:lineRule="auto"/>
            </w:pPr>
            <w:r>
              <w:rPr>
                <w:sz w:val="18"/>
              </w:rPr>
              <w:t>6615</w:t>
            </w:r>
          </w:p>
        </w:tc>
        <w:tc>
          <w:tcPr>
            <w:tcW w:w="1860" w:type="dxa"/>
            <w:tcMar>
              <w:top w:w="0" w:type="dxa"/>
              <w:bottom w:w="0" w:type="dxa"/>
            </w:tcMar>
            <w:vAlign w:val="center"/>
          </w:tcPr>
          <w:p w14:paraId="24A88076" w14:textId="77777777" w:rsidR="00E95A95" w:rsidRDefault="00306EB2" w:rsidP="00306EB2">
            <w:pPr>
              <w:keepNext/>
              <w:keepLines/>
              <w:spacing w:after="0" w:line="276" w:lineRule="auto"/>
              <w:jc w:val="right"/>
            </w:pPr>
            <w:r>
              <w:rPr>
                <w:sz w:val="18"/>
              </w:rPr>
              <w:t>9.340,40</w:t>
            </w:r>
          </w:p>
        </w:tc>
        <w:tc>
          <w:tcPr>
            <w:tcW w:w="1860" w:type="dxa"/>
            <w:tcMar>
              <w:top w:w="0" w:type="dxa"/>
              <w:bottom w:w="0" w:type="dxa"/>
            </w:tcMar>
            <w:vAlign w:val="center"/>
          </w:tcPr>
          <w:p w14:paraId="6F54F333" w14:textId="77777777" w:rsidR="00E95A95" w:rsidRDefault="00306EB2" w:rsidP="00306EB2">
            <w:pPr>
              <w:keepNext/>
              <w:keepLines/>
              <w:spacing w:after="0" w:line="276" w:lineRule="auto"/>
              <w:jc w:val="right"/>
            </w:pPr>
            <w:r>
              <w:rPr>
                <w:sz w:val="18"/>
              </w:rPr>
              <w:t>7.563,38</w:t>
            </w:r>
          </w:p>
        </w:tc>
        <w:tc>
          <w:tcPr>
            <w:tcW w:w="700" w:type="dxa"/>
            <w:tcMar>
              <w:top w:w="0" w:type="dxa"/>
              <w:bottom w:w="0" w:type="dxa"/>
            </w:tcMar>
            <w:vAlign w:val="center"/>
          </w:tcPr>
          <w:p w14:paraId="2902DE8B" w14:textId="77777777" w:rsidR="00E95A95" w:rsidRDefault="00306EB2" w:rsidP="00306EB2">
            <w:pPr>
              <w:keepNext/>
              <w:keepLines/>
              <w:spacing w:after="0" w:line="276" w:lineRule="auto"/>
              <w:jc w:val="right"/>
            </w:pPr>
            <w:r>
              <w:rPr>
                <w:sz w:val="18"/>
              </w:rPr>
              <w:t>81,0</w:t>
            </w:r>
          </w:p>
        </w:tc>
      </w:tr>
    </w:tbl>
    <w:p w14:paraId="6847C4CF" w14:textId="77777777" w:rsidR="00E95A95" w:rsidRDefault="00E95A95" w:rsidP="00306EB2">
      <w:pPr>
        <w:spacing w:after="0" w:line="276" w:lineRule="auto"/>
      </w:pPr>
    </w:p>
    <w:p w14:paraId="2456349C" w14:textId="77777777" w:rsidR="00E95A95" w:rsidRDefault="00306EB2" w:rsidP="00306EB2">
      <w:pPr>
        <w:spacing w:line="276" w:lineRule="auto"/>
        <w:jc w:val="both"/>
      </w:pPr>
      <w:r>
        <w:t>Prihod od pruženih usluga obuhvaća prihod od mjesečnog zakupa Kantine, prihod od najma prostora za aparate za kavu i napitke te za najam prostora II. gimnazije u iznosu od 7.563,38 eura što je za 19% manje od izvještajnog razdoblja prethodne godine.</w:t>
      </w:r>
    </w:p>
    <w:p w14:paraId="1A2CFE5F" w14:textId="77777777" w:rsidR="00E95A95" w:rsidRDefault="00E95A95" w:rsidP="00306EB2">
      <w:pPr>
        <w:spacing w:line="276" w:lineRule="auto"/>
      </w:pPr>
    </w:p>
    <w:p w14:paraId="4B2730BE" w14:textId="77777777" w:rsidR="00E95A95" w:rsidRDefault="00306EB2" w:rsidP="00306EB2">
      <w:pPr>
        <w:keepNext/>
        <w:spacing w:line="276"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1B07658C" w14:textId="77777777">
        <w:trPr>
          <w:cantSplit/>
        </w:trPr>
        <w:tc>
          <w:tcPr>
            <w:tcW w:w="700" w:type="dxa"/>
            <w:shd w:val="clear" w:color="auto" w:fill="E7F0F9"/>
            <w:tcMar>
              <w:top w:w="0" w:type="dxa"/>
              <w:bottom w:w="0" w:type="dxa"/>
            </w:tcMar>
            <w:vAlign w:val="center"/>
          </w:tcPr>
          <w:p w14:paraId="3985C5A3"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FBC52C"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64C80359"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6835496B"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4E70C6"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495324" w14:textId="77777777" w:rsidR="00E95A95" w:rsidRDefault="00306EB2" w:rsidP="00306EB2">
            <w:pPr>
              <w:keepNext/>
              <w:keepLines/>
              <w:spacing w:after="0" w:line="276" w:lineRule="auto"/>
              <w:jc w:val="center"/>
            </w:pPr>
            <w:r>
              <w:rPr>
                <w:b/>
                <w:sz w:val="18"/>
              </w:rPr>
              <w:t>Indeks (%)</w:t>
            </w:r>
          </w:p>
        </w:tc>
      </w:tr>
      <w:tr w:rsidR="00E95A95" w14:paraId="7E7CFE44" w14:textId="77777777">
        <w:trPr>
          <w:cantSplit/>
          <w:trHeight w:val="560"/>
        </w:trPr>
        <w:tc>
          <w:tcPr>
            <w:tcW w:w="700" w:type="dxa"/>
            <w:tcMar>
              <w:top w:w="0" w:type="dxa"/>
              <w:bottom w:w="0" w:type="dxa"/>
            </w:tcMar>
            <w:vAlign w:val="center"/>
          </w:tcPr>
          <w:p w14:paraId="05CF5AB2" w14:textId="77777777" w:rsidR="00E95A95" w:rsidRDefault="00306EB2" w:rsidP="00306EB2">
            <w:pPr>
              <w:keepNext/>
              <w:keepLines/>
              <w:spacing w:after="0" w:line="276" w:lineRule="auto"/>
            </w:pPr>
            <w:r>
              <w:rPr>
                <w:sz w:val="18"/>
              </w:rPr>
              <w:t>6631</w:t>
            </w:r>
          </w:p>
        </w:tc>
        <w:tc>
          <w:tcPr>
            <w:tcW w:w="3180" w:type="dxa"/>
            <w:tcMar>
              <w:top w:w="0" w:type="dxa"/>
              <w:bottom w:w="0" w:type="dxa"/>
            </w:tcMar>
            <w:vAlign w:val="center"/>
          </w:tcPr>
          <w:p w14:paraId="7ED6FFEE" w14:textId="77777777" w:rsidR="00E95A95" w:rsidRDefault="00306EB2" w:rsidP="00306EB2">
            <w:pPr>
              <w:keepNext/>
              <w:keepLines/>
              <w:spacing w:after="0" w:line="276" w:lineRule="auto"/>
            </w:pPr>
            <w:r>
              <w:rPr>
                <w:sz w:val="18"/>
              </w:rPr>
              <w:t>Tekuće donacije</w:t>
            </w:r>
          </w:p>
        </w:tc>
        <w:tc>
          <w:tcPr>
            <w:tcW w:w="700" w:type="dxa"/>
            <w:tcMar>
              <w:top w:w="0" w:type="dxa"/>
              <w:bottom w:w="0" w:type="dxa"/>
            </w:tcMar>
            <w:vAlign w:val="center"/>
          </w:tcPr>
          <w:p w14:paraId="1925402E" w14:textId="77777777" w:rsidR="00E95A95" w:rsidRDefault="00306EB2" w:rsidP="00306EB2">
            <w:pPr>
              <w:keepNext/>
              <w:keepLines/>
              <w:spacing w:after="0" w:line="276" w:lineRule="auto"/>
            </w:pPr>
            <w:r>
              <w:rPr>
                <w:sz w:val="18"/>
              </w:rPr>
              <w:t>6631</w:t>
            </w:r>
          </w:p>
        </w:tc>
        <w:tc>
          <w:tcPr>
            <w:tcW w:w="1860" w:type="dxa"/>
            <w:tcMar>
              <w:top w:w="0" w:type="dxa"/>
              <w:bottom w:w="0" w:type="dxa"/>
            </w:tcMar>
            <w:vAlign w:val="center"/>
          </w:tcPr>
          <w:p w14:paraId="451BDBC9" w14:textId="77777777" w:rsidR="00E95A95" w:rsidRDefault="00306EB2" w:rsidP="00306EB2">
            <w:pPr>
              <w:keepNext/>
              <w:keepLines/>
              <w:spacing w:after="0" w:line="276" w:lineRule="auto"/>
              <w:jc w:val="right"/>
            </w:pPr>
            <w:r>
              <w:rPr>
                <w:sz w:val="18"/>
              </w:rPr>
              <w:t>14.472,00</w:t>
            </w:r>
          </w:p>
        </w:tc>
        <w:tc>
          <w:tcPr>
            <w:tcW w:w="1860" w:type="dxa"/>
            <w:tcMar>
              <w:top w:w="0" w:type="dxa"/>
              <w:bottom w:w="0" w:type="dxa"/>
            </w:tcMar>
            <w:vAlign w:val="center"/>
          </w:tcPr>
          <w:p w14:paraId="58CB74E7" w14:textId="77777777" w:rsidR="00E95A95" w:rsidRDefault="00306EB2" w:rsidP="00306EB2">
            <w:pPr>
              <w:keepNext/>
              <w:keepLines/>
              <w:spacing w:after="0" w:line="276" w:lineRule="auto"/>
              <w:jc w:val="right"/>
            </w:pPr>
            <w:r>
              <w:rPr>
                <w:sz w:val="18"/>
              </w:rPr>
              <w:t>13.380,00</w:t>
            </w:r>
          </w:p>
        </w:tc>
        <w:tc>
          <w:tcPr>
            <w:tcW w:w="700" w:type="dxa"/>
            <w:tcMar>
              <w:top w:w="0" w:type="dxa"/>
              <w:bottom w:w="0" w:type="dxa"/>
            </w:tcMar>
            <w:vAlign w:val="center"/>
          </w:tcPr>
          <w:p w14:paraId="10509551" w14:textId="77777777" w:rsidR="00E95A95" w:rsidRDefault="00306EB2" w:rsidP="00306EB2">
            <w:pPr>
              <w:keepNext/>
              <w:keepLines/>
              <w:spacing w:after="0" w:line="276" w:lineRule="auto"/>
              <w:jc w:val="right"/>
            </w:pPr>
            <w:r>
              <w:rPr>
                <w:sz w:val="18"/>
              </w:rPr>
              <w:t>92,5</w:t>
            </w:r>
          </w:p>
        </w:tc>
      </w:tr>
    </w:tbl>
    <w:p w14:paraId="1C337F9A" w14:textId="77777777" w:rsidR="00E95A95" w:rsidRDefault="00E95A95" w:rsidP="00306EB2">
      <w:pPr>
        <w:spacing w:after="0" w:line="276" w:lineRule="auto"/>
      </w:pPr>
    </w:p>
    <w:p w14:paraId="7EB2E506" w14:textId="77777777" w:rsidR="00E95A95" w:rsidRDefault="00306EB2" w:rsidP="00306EB2">
      <w:pPr>
        <w:spacing w:line="276" w:lineRule="auto"/>
        <w:jc w:val="both"/>
      </w:pPr>
      <w:r>
        <w:t>Prihod od tekućih donacija pravnih i fizičkih osoba u iznosu od 13.380,00 eura je za 7,5% manji od iznosa donacija ostvarenih u izvještajnom razdoblju prethodne godine, a obuhvaća donacije za dnevnice za službena putovanja.</w:t>
      </w:r>
    </w:p>
    <w:p w14:paraId="30090C38" w14:textId="77777777" w:rsidR="00E95A95" w:rsidRDefault="00E95A95" w:rsidP="00306EB2">
      <w:pPr>
        <w:spacing w:line="276" w:lineRule="auto"/>
      </w:pPr>
    </w:p>
    <w:p w14:paraId="66268FB1" w14:textId="77777777" w:rsidR="00E95A95" w:rsidRDefault="00306EB2" w:rsidP="00306EB2">
      <w:pPr>
        <w:keepNext/>
        <w:spacing w:line="276"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3D3D9A65" w14:textId="77777777">
        <w:trPr>
          <w:cantSplit/>
        </w:trPr>
        <w:tc>
          <w:tcPr>
            <w:tcW w:w="700" w:type="dxa"/>
            <w:shd w:val="clear" w:color="auto" w:fill="E7F0F9"/>
            <w:tcMar>
              <w:top w:w="0" w:type="dxa"/>
              <w:bottom w:w="0" w:type="dxa"/>
            </w:tcMar>
            <w:vAlign w:val="center"/>
          </w:tcPr>
          <w:p w14:paraId="706360D9"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876616"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8641A34"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334E3048"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F0981"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3C816A" w14:textId="77777777" w:rsidR="00E95A95" w:rsidRDefault="00306EB2" w:rsidP="00306EB2">
            <w:pPr>
              <w:keepNext/>
              <w:keepLines/>
              <w:spacing w:after="0" w:line="276" w:lineRule="auto"/>
              <w:jc w:val="center"/>
            </w:pPr>
            <w:r>
              <w:rPr>
                <w:b/>
                <w:sz w:val="18"/>
              </w:rPr>
              <w:t>Indeks (%)</w:t>
            </w:r>
          </w:p>
        </w:tc>
      </w:tr>
      <w:tr w:rsidR="00E95A95" w14:paraId="714F64DE" w14:textId="77777777">
        <w:trPr>
          <w:cantSplit/>
          <w:trHeight w:val="560"/>
        </w:trPr>
        <w:tc>
          <w:tcPr>
            <w:tcW w:w="700" w:type="dxa"/>
            <w:tcMar>
              <w:top w:w="0" w:type="dxa"/>
              <w:bottom w:w="0" w:type="dxa"/>
            </w:tcMar>
            <w:vAlign w:val="center"/>
          </w:tcPr>
          <w:p w14:paraId="7F58FB31" w14:textId="77777777" w:rsidR="00E95A95" w:rsidRDefault="00306EB2" w:rsidP="00306EB2">
            <w:pPr>
              <w:keepNext/>
              <w:keepLines/>
              <w:spacing w:after="0" w:line="276" w:lineRule="auto"/>
            </w:pPr>
            <w:r>
              <w:rPr>
                <w:sz w:val="18"/>
              </w:rPr>
              <w:t>6711</w:t>
            </w:r>
          </w:p>
        </w:tc>
        <w:tc>
          <w:tcPr>
            <w:tcW w:w="3180" w:type="dxa"/>
            <w:tcMar>
              <w:top w:w="0" w:type="dxa"/>
              <w:bottom w:w="0" w:type="dxa"/>
            </w:tcMar>
            <w:vAlign w:val="center"/>
          </w:tcPr>
          <w:p w14:paraId="13A9733A" w14:textId="77777777" w:rsidR="00E95A95" w:rsidRDefault="00306EB2" w:rsidP="00306EB2">
            <w:pPr>
              <w:keepNext/>
              <w:keepLines/>
              <w:spacing w:after="0" w:line="276" w:lineRule="auto"/>
            </w:pPr>
            <w:r>
              <w:rPr>
                <w:sz w:val="18"/>
              </w:rPr>
              <w:t>Prihodi iz nadležnog proračuna za financiranje rashoda poslovanja</w:t>
            </w:r>
          </w:p>
        </w:tc>
        <w:tc>
          <w:tcPr>
            <w:tcW w:w="700" w:type="dxa"/>
            <w:tcMar>
              <w:top w:w="0" w:type="dxa"/>
              <w:bottom w:w="0" w:type="dxa"/>
            </w:tcMar>
            <w:vAlign w:val="center"/>
          </w:tcPr>
          <w:p w14:paraId="66B62540" w14:textId="77777777" w:rsidR="00E95A95" w:rsidRDefault="00306EB2" w:rsidP="00306EB2">
            <w:pPr>
              <w:keepNext/>
              <w:keepLines/>
              <w:spacing w:after="0" w:line="276" w:lineRule="auto"/>
            </w:pPr>
            <w:r>
              <w:rPr>
                <w:sz w:val="18"/>
              </w:rPr>
              <w:t>6711</w:t>
            </w:r>
          </w:p>
        </w:tc>
        <w:tc>
          <w:tcPr>
            <w:tcW w:w="1860" w:type="dxa"/>
            <w:tcMar>
              <w:top w:w="0" w:type="dxa"/>
              <w:bottom w:w="0" w:type="dxa"/>
            </w:tcMar>
            <w:vAlign w:val="center"/>
          </w:tcPr>
          <w:p w14:paraId="74BFF664" w14:textId="77777777" w:rsidR="00E95A95" w:rsidRDefault="00306EB2" w:rsidP="00306EB2">
            <w:pPr>
              <w:keepNext/>
              <w:keepLines/>
              <w:spacing w:after="0" w:line="276" w:lineRule="auto"/>
              <w:jc w:val="right"/>
            </w:pPr>
            <w:r>
              <w:rPr>
                <w:sz w:val="18"/>
              </w:rPr>
              <w:t>88.700,56</w:t>
            </w:r>
          </w:p>
        </w:tc>
        <w:tc>
          <w:tcPr>
            <w:tcW w:w="1860" w:type="dxa"/>
            <w:tcMar>
              <w:top w:w="0" w:type="dxa"/>
              <w:bottom w:w="0" w:type="dxa"/>
            </w:tcMar>
            <w:vAlign w:val="center"/>
          </w:tcPr>
          <w:p w14:paraId="035C5AFC" w14:textId="77777777" w:rsidR="00E95A95" w:rsidRDefault="00306EB2" w:rsidP="00306EB2">
            <w:pPr>
              <w:keepNext/>
              <w:keepLines/>
              <w:spacing w:after="0" w:line="276" w:lineRule="auto"/>
              <w:jc w:val="right"/>
            </w:pPr>
            <w:r>
              <w:rPr>
                <w:sz w:val="18"/>
              </w:rPr>
              <w:t>119.505,55</w:t>
            </w:r>
          </w:p>
        </w:tc>
        <w:tc>
          <w:tcPr>
            <w:tcW w:w="700" w:type="dxa"/>
            <w:tcMar>
              <w:top w:w="0" w:type="dxa"/>
              <w:bottom w:w="0" w:type="dxa"/>
            </w:tcMar>
            <w:vAlign w:val="center"/>
          </w:tcPr>
          <w:p w14:paraId="091B2461" w14:textId="77777777" w:rsidR="00E95A95" w:rsidRDefault="00306EB2" w:rsidP="00306EB2">
            <w:pPr>
              <w:keepNext/>
              <w:keepLines/>
              <w:spacing w:after="0" w:line="276" w:lineRule="auto"/>
              <w:jc w:val="right"/>
            </w:pPr>
            <w:r>
              <w:rPr>
                <w:sz w:val="18"/>
              </w:rPr>
              <w:t>134,7</w:t>
            </w:r>
          </w:p>
        </w:tc>
      </w:tr>
    </w:tbl>
    <w:p w14:paraId="0DDD8B5E" w14:textId="77777777" w:rsidR="00E95A95" w:rsidRDefault="00E95A95" w:rsidP="00306EB2">
      <w:pPr>
        <w:spacing w:after="0" w:line="276" w:lineRule="auto"/>
      </w:pPr>
    </w:p>
    <w:p w14:paraId="07384C39" w14:textId="77777777" w:rsidR="00E95A95" w:rsidRDefault="00306EB2" w:rsidP="00306EB2">
      <w:pPr>
        <w:spacing w:line="276" w:lineRule="auto"/>
        <w:jc w:val="both"/>
      </w:pPr>
      <w:r>
        <w:t xml:space="preserve">Prihod iz nadležnog proračuna Grada Zagreba obuhvaća prihode za financiranje rashoda poslovanja, zatim prihod za </w:t>
      </w:r>
      <w:proofErr w:type="spellStart"/>
      <w:r>
        <w:t>Lidrano</w:t>
      </w:r>
      <w:proofErr w:type="spellEnd"/>
      <w:r>
        <w:t xml:space="preserve"> 2025. u iznosu od 2.067.60 eura, prihod za nagradu </w:t>
      </w:r>
      <w:proofErr w:type="spellStart"/>
      <w:r>
        <w:t>Balthazar</w:t>
      </w:r>
      <w:proofErr w:type="spellEnd"/>
      <w:r>
        <w:t xml:space="preserve"> u iznosu od 3.320,00 eura, prihode za izradu dokumentacije Procjene stanja i plan sigurnosti, prihod za nabavu udžbenika za školsku godinu 2025./2026. te lektira i stručne literature za školsku knjižnicu, prihod za menstrualne potrepštine učenicama, prihod za tekuće i investicijsko održavanje odnosno refundaciju troškova izmjene oborinske cijevi u prostoru škole te ostala održavanja zbog čega dolazi do povećanja prihoda za izvještajno razdoblje u 2025. godini koji su za 34,7% veći od prihoda ostvarenih prethodne godine u ovoj skupini.</w:t>
      </w:r>
    </w:p>
    <w:p w14:paraId="15D0ED98" w14:textId="77777777" w:rsidR="00E95A95" w:rsidRDefault="00E95A95" w:rsidP="00306EB2">
      <w:pPr>
        <w:spacing w:line="276" w:lineRule="auto"/>
      </w:pPr>
    </w:p>
    <w:p w14:paraId="0B378D41" w14:textId="77777777" w:rsidR="00E95A95" w:rsidRDefault="00306EB2" w:rsidP="00306EB2">
      <w:pPr>
        <w:keepNext/>
        <w:spacing w:line="276"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72FCCCC5" w14:textId="77777777">
        <w:trPr>
          <w:cantSplit/>
        </w:trPr>
        <w:tc>
          <w:tcPr>
            <w:tcW w:w="700" w:type="dxa"/>
            <w:shd w:val="clear" w:color="auto" w:fill="E7F0F9"/>
            <w:tcMar>
              <w:top w:w="0" w:type="dxa"/>
              <w:bottom w:w="0" w:type="dxa"/>
            </w:tcMar>
            <w:vAlign w:val="center"/>
          </w:tcPr>
          <w:p w14:paraId="6D32B075"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A85B09"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1B93CB6"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6A5B0727"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2E58E1"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14974A" w14:textId="77777777" w:rsidR="00E95A95" w:rsidRDefault="00306EB2" w:rsidP="00306EB2">
            <w:pPr>
              <w:keepNext/>
              <w:keepLines/>
              <w:spacing w:after="0" w:line="276" w:lineRule="auto"/>
              <w:jc w:val="center"/>
            </w:pPr>
            <w:r>
              <w:rPr>
                <w:b/>
                <w:sz w:val="18"/>
              </w:rPr>
              <w:t>Indeks (%)</w:t>
            </w:r>
          </w:p>
        </w:tc>
      </w:tr>
      <w:tr w:rsidR="00E95A95" w14:paraId="63E66F81" w14:textId="77777777">
        <w:trPr>
          <w:cantSplit/>
          <w:trHeight w:val="560"/>
        </w:trPr>
        <w:tc>
          <w:tcPr>
            <w:tcW w:w="700" w:type="dxa"/>
            <w:tcMar>
              <w:top w:w="0" w:type="dxa"/>
              <w:bottom w:w="0" w:type="dxa"/>
            </w:tcMar>
            <w:vAlign w:val="center"/>
          </w:tcPr>
          <w:p w14:paraId="67488811" w14:textId="77777777" w:rsidR="00E95A95" w:rsidRDefault="00306EB2" w:rsidP="00306EB2">
            <w:pPr>
              <w:keepNext/>
              <w:keepLines/>
              <w:spacing w:after="0" w:line="276" w:lineRule="auto"/>
            </w:pPr>
            <w:r>
              <w:rPr>
                <w:sz w:val="18"/>
              </w:rPr>
              <w:t>3</w:t>
            </w:r>
          </w:p>
        </w:tc>
        <w:tc>
          <w:tcPr>
            <w:tcW w:w="3180" w:type="dxa"/>
            <w:tcMar>
              <w:top w:w="0" w:type="dxa"/>
              <w:bottom w:w="0" w:type="dxa"/>
            </w:tcMar>
            <w:vAlign w:val="center"/>
          </w:tcPr>
          <w:p w14:paraId="6498E098" w14:textId="77777777" w:rsidR="00E95A95" w:rsidRDefault="00306EB2" w:rsidP="00306EB2">
            <w:pPr>
              <w:keepNext/>
              <w:keepLines/>
              <w:spacing w:after="0" w:line="276" w:lineRule="auto"/>
            </w:pPr>
            <w:r>
              <w:rPr>
                <w:sz w:val="18"/>
              </w:rPr>
              <w:t>RASHODI POSLOVANJA (šifre 31+32+34+35+36+37+38)</w:t>
            </w:r>
          </w:p>
        </w:tc>
        <w:tc>
          <w:tcPr>
            <w:tcW w:w="700" w:type="dxa"/>
            <w:tcMar>
              <w:top w:w="0" w:type="dxa"/>
              <w:bottom w:w="0" w:type="dxa"/>
            </w:tcMar>
            <w:vAlign w:val="center"/>
          </w:tcPr>
          <w:p w14:paraId="57ED210D" w14:textId="77777777" w:rsidR="00E95A95" w:rsidRDefault="00306EB2" w:rsidP="00306EB2">
            <w:pPr>
              <w:keepNext/>
              <w:keepLines/>
              <w:spacing w:after="0" w:line="276" w:lineRule="auto"/>
            </w:pPr>
            <w:r>
              <w:rPr>
                <w:sz w:val="18"/>
              </w:rPr>
              <w:t>3</w:t>
            </w:r>
          </w:p>
        </w:tc>
        <w:tc>
          <w:tcPr>
            <w:tcW w:w="1860" w:type="dxa"/>
            <w:tcMar>
              <w:top w:w="0" w:type="dxa"/>
              <w:bottom w:w="0" w:type="dxa"/>
            </w:tcMar>
            <w:vAlign w:val="center"/>
          </w:tcPr>
          <w:p w14:paraId="3F19D6E6" w14:textId="77777777" w:rsidR="00E95A95" w:rsidRDefault="00306EB2" w:rsidP="00306EB2">
            <w:pPr>
              <w:keepNext/>
              <w:keepLines/>
              <w:spacing w:after="0" w:line="276" w:lineRule="auto"/>
              <w:jc w:val="right"/>
            </w:pPr>
            <w:r>
              <w:rPr>
                <w:sz w:val="18"/>
              </w:rPr>
              <w:t>1.930.801,52</w:t>
            </w:r>
          </w:p>
        </w:tc>
        <w:tc>
          <w:tcPr>
            <w:tcW w:w="1860" w:type="dxa"/>
            <w:tcMar>
              <w:top w:w="0" w:type="dxa"/>
              <w:bottom w:w="0" w:type="dxa"/>
            </w:tcMar>
            <w:vAlign w:val="center"/>
          </w:tcPr>
          <w:p w14:paraId="5D5613F6" w14:textId="77777777" w:rsidR="00E95A95" w:rsidRDefault="00306EB2" w:rsidP="00306EB2">
            <w:pPr>
              <w:keepNext/>
              <w:keepLines/>
              <w:spacing w:after="0" w:line="276" w:lineRule="auto"/>
              <w:jc w:val="right"/>
            </w:pPr>
            <w:r>
              <w:rPr>
                <w:sz w:val="18"/>
              </w:rPr>
              <w:t>2.117.196,50</w:t>
            </w:r>
          </w:p>
        </w:tc>
        <w:tc>
          <w:tcPr>
            <w:tcW w:w="700" w:type="dxa"/>
            <w:tcMar>
              <w:top w:w="0" w:type="dxa"/>
              <w:bottom w:w="0" w:type="dxa"/>
            </w:tcMar>
            <w:vAlign w:val="center"/>
          </w:tcPr>
          <w:p w14:paraId="4A48BF79" w14:textId="77777777" w:rsidR="00E95A95" w:rsidRDefault="00306EB2" w:rsidP="00306EB2">
            <w:pPr>
              <w:keepNext/>
              <w:keepLines/>
              <w:spacing w:after="0" w:line="276" w:lineRule="auto"/>
              <w:jc w:val="right"/>
            </w:pPr>
            <w:r>
              <w:rPr>
                <w:sz w:val="18"/>
              </w:rPr>
              <w:t>109,7</w:t>
            </w:r>
          </w:p>
        </w:tc>
      </w:tr>
    </w:tbl>
    <w:p w14:paraId="1A508CF2" w14:textId="77777777" w:rsidR="00E95A95" w:rsidRDefault="00E95A95" w:rsidP="00306EB2">
      <w:pPr>
        <w:spacing w:after="0" w:line="276" w:lineRule="auto"/>
      </w:pPr>
    </w:p>
    <w:p w14:paraId="555A52CD" w14:textId="70AE6315" w:rsidR="00E95A95" w:rsidRDefault="00306EB2" w:rsidP="00306EB2">
      <w:pPr>
        <w:spacing w:line="276" w:lineRule="auto"/>
        <w:jc w:val="both"/>
      </w:pPr>
      <w:r>
        <w:t>Ukupni rashodi poslovanja u izvještajnom razdoblju za 2025. godinu iznose 2.117.196,50 eura te su u odnosu na prethodnu godinu veći za 9,7% . Dolazi do povećanja rashoda zbog ukidanja podskupine 193 na koju su se prije knjižile nedospjele plaće koje se sada knjiže na rashod.</w:t>
      </w:r>
    </w:p>
    <w:p w14:paraId="05276289" w14:textId="77777777" w:rsidR="00E95A95" w:rsidRDefault="00306EB2" w:rsidP="00306EB2">
      <w:pPr>
        <w:keepNext/>
        <w:spacing w:line="276"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39BC8096" w14:textId="77777777">
        <w:trPr>
          <w:cantSplit/>
        </w:trPr>
        <w:tc>
          <w:tcPr>
            <w:tcW w:w="700" w:type="dxa"/>
            <w:shd w:val="clear" w:color="auto" w:fill="E7F0F9"/>
            <w:tcMar>
              <w:top w:w="0" w:type="dxa"/>
              <w:bottom w:w="0" w:type="dxa"/>
            </w:tcMar>
            <w:vAlign w:val="center"/>
          </w:tcPr>
          <w:p w14:paraId="52FBD000"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676C9D"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17BE89FF"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03C0AFA4"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1EDC4E"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F658E1" w14:textId="77777777" w:rsidR="00E95A95" w:rsidRDefault="00306EB2" w:rsidP="00306EB2">
            <w:pPr>
              <w:keepNext/>
              <w:keepLines/>
              <w:spacing w:after="0" w:line="276" w:lineRule="auto"/>
              <w:jc w:val="center"/>
            </w:pPr>
            <w:r>
              <w:rPr>
                <w:b/>
                <w:sz w:val="18"/>
              </w:rPr>
              <w:t>Indeks (%)</w:t>
            </w:r>
          </w:p>
        </w:tc>
      </w:tr>
      <w:tr w:rsidR="00E95A95" w14:paraId="138313DA" w14:textId="77777777">
        <w:trPr>
          <w:cantSplit/>
          <w:trHeight w:val="560"/>
        </w:trPr>
        <w:tc>
          <w:tcPr>
            <w:tcW w:w="700" w:type="dxa"/>
            <w:tcMar>
              <w:top w:w="0" w:type="dxa"/>
              <w:bottom w:w="0" w:type="dxa"/>
            </w:tcMar>
            <w:vAlign w:val="center"/>
          </w:tcPr>
          <w:p w14:paraId="0F9DD3F6" w14:textId="77777777" w:rsidR="00E95A95" w:rsidRDefault="00306EB2" w:rsidP="00306EB2">
            <w:pPr>
              <w:keepNext/>
              <w:keepLines/>
              <w:spacing w:after="0" w:line="276" w:lineRule="auto"/>
            </w:pPr>
            <w:r>
              <w:rPr>
                <w:sz w:val="18"/>
              </w:rPr>
              <w:t>311</w:t>
            </w:r>
          </w:p>
        </w:tc>
        <w:tc>
          <w:tcPr>
            <w:tcW w:w="3180" w:type="dxa"/>
            <w:tcMar>
              <w:top w:w="0" w:type="dxa"/>
              <w:bottom w:w="0" w:type="dxa"/>
            </w:tcMar>
            <w:vAlign w:val="center"/>
          </w:tcPr>
          <w:p w14:paraId="34D93333" w14:textId="77777777" w:rsidR="00E95A95" w:rsidRDefault="00306EB2" w:rsidP="00306EB2">
            <w:pPr>
              <w:keepNext/>
              <w:keepLines/>
              <w:spacing w:after="0" w:line="276" w:lineRule="auto"/>
            </w:pPr>
            <w:r>
              <w:rPr>
                <w:sz w:val="18"/>
              </w:rPr>
              <w:t>Plaće (bruto) (šifre 3111 do 3114)</w:t>
            </w:r>
          </w:p>
        </w:tc>
        <w:tc>
          <w:tcPr>
            <w:tcW w:w="700" w:type="dxa"/>
            <w:tcMar>
              <w:top w:w="0" w:type="dxa"/>
              <w:bottom w:w="0" w:type="dxa"/>
            </w:tcMar>
            <w:vAlign w:val="center"/>
          </w:tcPr>
          <w:p w14:paraId="0B8DF32A" w14:textId="77777777" w:rsidR="00E95A95" w:rsidRDefault="00306EB2" w:rsidP="00306EB2">
            <w:pPr>
              <w:keepNext/>
              <w:keepLines/>
              <w:spacing w:after="0" w:line="276" w:lineRule="auto"/>
            </w:pPr>
            <w:r>
              <w:rPr>
                <w:sz w:val="18"/>
              </w:rPr>
              <w:t>311</w:t>
            </w:r>
          </w:p>
        </w:tc>
        <w:tc>
          <w:tcPr>
            <w:tcW w:w="1860" w:type="dxa"/>
            <w:tcMar>
              <w:top w:w="0" w:type="dxa"/>
              <w:bottom w:w="0" w:type="dxa"/>
            </w:tcMar>
            <w:vAlign w:val="center"/>
          </w:tcPr>
          <w:p w14:paraId="5FB6383F" w14:textId="77777777" w:rsidR="00E95A95" w:rsidRDefault="00306EB2" w:rsidP="00306EB2">
            <w:pPr>
              <w:keepNext/>
              <w:keepLines/>
              <w:spacing w:after="0" w:line="276" w:lineRule="auto"/>
              <w:jc w:val="right"/>
            </w:pPr>
            <w:r>
              <w:rPr>
                <w:sz w:val="18"/>
              </w:rPr>
              <w:t>1.460.927,77</w:t>
            </w:r>
          </w:p>
        </w:tc>
        <w:tc>
          <w:tcPr>
            <w:tcW w:w="1860" w:type="dxa"/>
            <w:tcMar>
              <w:top w:w="0" w:type="dxa"/>
              <w:bottom w:w="0" w:type="dxa"/>
            </w:tcMar>
            <w:vAlign w:val="center"/>
          </w:tcPr>
          <w:p w14:paraId="6C98A63F" w14:textId="77777777" w:rsidR="00E95A95" w:rsidRDefault="00306EB2" w:rsidP="00306EB2">
            <w:pPr>
              <w:keepNext/>
              <w:keepLines/>
              <w:spacing w:after="0" w:line="276" w:lineRule="auto"/>
              <w:jc w:val="right"/>
            </w:pPr>
            <w:r>
              <w:rPr>
                <w:sz w:val="18"/>
              </w:rPr>
              <w:t>1.648.830,37</w:t>
            </w:r>
          </w:p>
        </w:tc>
        <w:tc>
          <w:tcPr>
            <w:tcW w:w="700" w:type="dxa"/>
            <w:tcMar>
              <w:top w:w="0" w:type="dxa"/>
              <w:bottom w:w="0" w:type="dxa"/>
            </w:tcMar>
            <w:vAlign w:val="center"/>
          </w:tcPr>
          <w:p w14:paraId="372EA52A" w14:textId="77777777" w:rsidR="00E95A95" w:rsidRDefault="00306EB2" w:rsidP="00306EB2">
            <w:pPr>
              <w:keepNext/>
              <w:keepLines/>
              <w:spacing w:after="0" w:line="276" w:lineRule="auto"/>
              <w:jc w:val="right"/>
            </w:pPr>
            <w:r>
              <w:rPr>
                <w:sz w:val="18"/>
              </w:rPr>
              <w:t>112,9</w:t>
            </w:r>
          </w:p>
        </w:tc>
      </w:tr>
    </w:tbl>
    <w:p w14:paraId="269D52A3" w14:textId="77777777" w:rsidR="00E95A95" w:rsidRDefault="00E95A95" w:rsidP="00306EB2">
      <w:pPr>
        <w:spacing w:after="0" w:line="276" w:lineRule="auto"/>
      </w:pPr>
    </w:p>
    <w:p w14:paraId="7C77F2C8" w14:textId="77777777" w:rsidR="00E95A95" w:rsidRDefault="00306EB2" w:rsidP="00306EB2">
      <w:pPr>
        <w:spacing w:line="276" w:lineRule="auto"/>
        <w:jc w:val="both"/>
      </w:pPr>
      <w:r>
        <w:t>Rashodi za plaće zaposlenika su uvećani za 12,9% u odnosu na prethodnu godinu radi povećanja osnovice plaća za 3% od 01.veljače 2025 te 3% od 01. rujna 2025. i radi povećanja rashoda za prekovremeni rad za 9,7% u odnosu na prethodnu godinu.</w:t>
      </w:r>
    </w:p>
    <w:p w14:paraId="20A9CC02" w14:textId="77777777" w:rsidR="00E95A95" w:rsidRDefault="00E95A95" w:rsidP="00306EB2">
      <w:pPr>
        <w:spacing w:line="276" w:lineRule="auto"/>
      </w:pPr>
    </w:p>
    <w:p w14:paraId="2D042B30" w14:textId="77777777" w:rsidR="00E95A95" w:rsidRDefault="00306EB2" w:rsidP="00306EB2">
      <w:pPr>
        <w:keepNext/>
        <w:spacing w:line="276"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6239A25E" w14:textId="77777777">
        <w:trPr>
          <w:cantSplit/>
        </w:trPr>
        <w:tc>
          <w:tcPr>
            <w:tcW w:w="700" w:type="dxa"/>
            <w:shd w:val="clear" w:color="auto" w:fill="E7F0F9"/>
            <w:tcMar>
              <w:top w:w="0" w:type="dxa"/>
              <w:bottom w:w="0" w:type="dxa"/>
            </w:tcMar>
            <w:vAlign w:val="center"/>
          </w:tcPr>
          <w:p w14:paraId="13F9AEB3"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AFCFD5"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2FC5112C"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363082F3"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C866E"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5E2838" w14:textId="77777777" w:rsidR="00E95A95" w:rsidRDefault="00306EB2" w:rsidP="00306EB2">
            <w:pPr>
              <w:keepNext/>
              <w:keepLines/>
              <w:spacing w:after="0" w:line="276" w:lineRule="auto"/>
              <w:jc w:val="center"/>
            </w:pPr>
            <w:r>
              <w:rPr>
                <w:b/>
                <w:sz w:val="18"/>
              </w:rPr>
              <w:t>Indeks (%)</w:t>
            </w:r>
          </w:p>
        </w:tc>
      </w:tr>
      <w:tr w:rsidR="00E95A95" w14:paraId="3AAF6F2A" w14:textId="77777777">
        <w:trPr>
          <w:cantSplit/>
          <w:trHeight w:val="560"/>
        </w:trPr>
        <w:tc>
          <w:tcPr>
            <w:tcW w:w="700" w:type="dxa"/>
            <w:tcMar>
              <w:top w:w="0" w:type="dxa"/>
              <w:bottom w:w="0" w:type="dxa"/>
            </w:tcMar>
            <w:vAlign w:val="center"/>
          </w:tcPr>
          <w:p w14:paraId="5816C890" w14:textId="77777777" w:rsidR="00E95A95" w:rsidRDefault="00306EB2" w:rsidP="00306EB2">
            <w:pPr>
              <w:keepNext/>
              <w:keepLines/>
              <w:spacing w:after="0" w:line="276" w:lineRule="auto"/>
            </w:pPr>
            <w:r>
              <w:rPr>
                <w:sz w:val="18"/>
              </w:rPr>
              <w:t>313</w:t>
            </w:r>
          </w:p>
        </w:tc>
        <w:tc>
          <w:tcPr>
            <w:tcW w:w="3180" w:type="dxa"/>
            <w:tcMar>
              <w:top w:w="0" w:type="dxa"/>
              <w:bottom w:w="0" w:type="dxa"/>
            </w:tcMar>
            <w:vAlign w:val="center"/>
          </w:tcPr>
          <w:p w14:paraId="7D192309" w14:textId="77777777" w:rsidR="00E95A95" w:rsidRDefault="00306EB2" w:rsidP="00306EB2">
            <w:pPr>
              <w:keepNext/>
              <w:keepLines/>
              <w:spacing w:after="0" w:line="276" w:lineRule="auto"/>
            </w:pPr>
            <w:r>
              <w:rPr>
                <w:sz w:val="18"/>
              </w:rPr>
              <w:t>Doprinosi na plaće (šifre 3131 do 3133)</w:t>
            </w:r>
          </w:p>
        </w:tc>
        <w:tc>
          <w:tcPr>
            <w:tcW w:w="700" w:type="dxa"/>
            <w:tcMar>
              <w:top w:w="0" w:type="dxa"/>
              <w:bottom w:w="0" w:type="dxa"/>
            </w:tcMar>
            <w:vAlign w:val="center"/>
          </w:tcPr>
          <w:p w14:paraId="48621198" w14:textId="77777777" w:rsidR="00E95A95" w:rsidRDefault="00306EB2" w:rsidP="00306EB2">
            <w:pPr>
              <w:keepNext/>
              <w:keepLines/>
              <w:spacing w:after="0" w:line="276" w:lineRule="auto"/>
            </w:pPr>
            <w:r>
              <w:rPr>
                <w:sz w:val="18"/>
              </w:rPr>
              <w:t>313</w:t>
            </w:r>
          </w:p>
        </w:tc>
        <w:tc>
          <w:tcPr>
            <w:tcW w:w="1860" w:type="dxa"/>
            <w:tcMar>
              <w:top w:w="0" w:type="dxa"/>
              <w:bottom w:w="0" w:type="dxa"/>
            </w:tcMar>
            <w:vAlign w:val="center"/>
          </w:tcPr>
          <w:p w14:paraId="7549E1D6" w14:textId="77777777" w:rsidR="00E95A95" w:rsidRDefault="00306EB2" w:rsidP="00306EB2">
            <w:pPr>
              <w:keepNext/>
              <w:keepLines/>
              <w:spacing w:after="0" w:line="276" w:lineRule="auto"/>
              <w:jc w:val="right"/>
            </w:pPr>
            <w:r>
              <w:rPr>
                <w:sz w:val="18"/>
              </w:rPr>
              <w:t>231.985,52</w:t>
            </w:r>
          </w:p>
        </w:tc>
        <w:tc>
          <w:tcPr>
            <w:tcW w:w="1860" w:type="dxa"/>
            <w:tcMar>
              <w:top w:w="0" w:type="dxa"/>
              <w:bottom w:w="0" w:type="dxa"/>
            </w:tcMar>
            <w:vAlign w:val="center"/>
          </w:tcPr>
          <w:p w14:paraId="2E69C4FB" w14:textId="77777777" w:rsidR="00E95A95" w:rsidRDefault="00306EB2" w:rsidP="00306EB2">
            <w:pPr>
              <w:keepNext/>
              <w:keepLines/>
              <w:spacing w:after="0" w:line="276" w:lineRule="auto"/>
              <w:jc w:val="right"/>
            </w:pPr>
            <w:r>
              <w:rPr>
                <w:sz w:val="18"/>
              </w:rPr>
              <w:t>261.591,72</w:t>
            </w:r>
          </w:p>
        </w:tc>
        <w:tc>
          <w:tcPr>
            <w:tcW w:w="700" w:type="dxa"/>
            <w:tcMar>
              <w:top w:w="0" w:type="dxa"/>
              <w:bottom w:w="0" w:type="dxa"/>
            </w:tcMar>
            <w:vAlign w:val="center"/>
          </w:tcPr>
          <w:p w14:paraId="2AB69CF0" w14:textId="77777777" w:rsidR="00E95A95" w:rsidRDefault="00306EB2" w:rsidP="00306EB2">
            <w:pPr>
              <w:keepNext/>
              <w:keepLines/>
              <w:spacing w:after="0" w:line="276" w:lineRule="auto"/>
              <w:jc w:val="right"/>
            </w:pPr>
            <w:r>
              <w:rPr>
                <w:sz w:val="18"/>
              </w:rPr>
              <w:t>112,8</w:t>
            </w:r>
          </w:p>
        </w:tc>
      </w:tr>
    </w:tbl>
    <w:p w14:paraId="77487F23" w14:textId="77777777" w:rsidR="00E95A95" w:rsidRDefault="00E95A95" w:rsidP="00306EB2">
      <w:pPr>
        <w:spacing w:after="0" w:line="276" w:lineRule="auto"/>
      </w:pPr>
    </w:p>
    <w:p w14:paraId="13E72F3A" w14:textId="6D1C139D" w:rsidR="00E95A95" w:rsidRDefault="00306EB2" w:rsidP="00306EB2">
      <w:pPr>
        <w:spacing w:line="276" w:lineRule="auto"/>
        <w:jc w:val="both"/>
      </w:pPr>
      <w:r>
        <w:t>Doprinosi na plaće uvećani su za 12,8% u odnosu na izvještajno razdoblje prethodne godine te iznose 261.591,72 eura.</w:t>
      </w:r>
    </w:p>
    <w:p w14:paraId="270B8F26" w14:textId="77777777" w:rsidR="00E95A95" w:rsidRDefault="00306EB2" w:rsidP="00306EB2">
      <w:pPr>
        <w:keepNext/>
        <w:spacing w:line="276"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292DD8D9" w14:textId="77777777">
        <w:trPr>
          <w:cantSplit/>
        </w:trPr>
        <w:tc>
          <w:tcPr>
            <w:tcW w:w="700" w:type="dxa"/>
            <w:shd w:val="clear" w:color="auto" w:fill="E7F0F9"/>
            <w:tcMar>
              <w:top w:w="0" w:type="dxa"/>
              <w:bottom w:w="0" w:type="dxa"/>
            </w:tcMar>
            <w:vAlign w:val="center"/>
          </w:tcPr>
          <w:p w14:paraId="017F7ECC"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30115C"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3616A135"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1D3348BB"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7A0141"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8EF3DB" w14:textId="77777777" w:rsidR="00E95A95" w:rsidRDefault="00306EB2" w:rsidP="00306EB2">
            <w:pPr>
              <w:keepNext/>
              <w:keepLines/>
              <w:spacing w:after="0" w:line="276" w:lineRule="auto"/>
              <w:jc w:val="center"/>
            </w:pPr>
            <w:r>
              <w:rPr>
                <w:b/>
                <w:sz w:val="18"/>
              </w:rPr>
              <w:t>Indeks (%)</w:t>
            </w:r>
          </w:p>
        </w:tc>
      </w:tr>
      <w:tr w:rsidR="00E95A95" w14:paraId="75A412F0" w14:textId="77777777">
        <w:trPr>
          <w:cantSplit/>
          <w:trHeight w:val="560"/>
        </w:trPr>
        <w:tc>
          <w:tcPr>
            <w:tcW w:w="700" w:type="dxa"/>
            <w:tcMar>
              <w:top w:w="0" w:type="dxa"/>
              <w:bottom w:w="0" w:type="dxa"/>
            </w:tcMar>
            <w:vAlign w:val="center"/>
          </w:tcPr>
          <w:p w14:paraId="5EE4D0D3" w14:textId="77777777" w:rsidR="00E95A95" w:rsidRDefault="00306EB2" w:rsidP="00306EB2">
            <w:pPr>
              <w:keepNext/>
              <w:keepLines/>
              <w:spacing w:after="0" w:line="276" w:lineRule="auto"/>
            </w:pPr>
            <w:r>
              <w:rPr>
                <w:sz w:val="18"/>
              </w:rPr>
              <w:t>321</w:t>
            </w:r>
          </w:p>
        </w:tc>
        <w:tc>
          <w:tcPr>
            <w:tcW w:w="3180" w:type="dxa"/>
            <w:tcMar>
              <w:top w:w="0" w:type="dxa"/>
              <w:bottom w:w="0" w:type="dxa"/>
            </w:tcMar>
            <w:vAlign w:val="center"/>
          </w:tcPr>
          <w:p w14:paraId="0B2C203F" w14:textId="77777777" w:rsidR="00E95A95" w:rsidRDefault="00306EB2" w:rsidP="00306EB2">
            <w:pPr>
              <w:keepNext/>
              <w:keepLines/>
              <w:spacing w:after="0" w:line="276" w:lineRule="auto"/>
            </w:pPr>
            <w:r>
              <w:rPr>
                <w:sz w:val="18"/>
              </w:rPr>
              <w:t>Naknade troškova zaposlenima (šifre 3211 do 3214)</w:t>
            </w:r>
          </w:p>
        </w:tc>
        <w:tc>
          <w:tcPr>
            <w:tcW w:w="700" w:type="dxa"/>
            <w:tcMar>
              <w:top w:w="0" w:type="dxa"/>
              <w:bottom w:w="0" w:type="dxa"/>
            </w:tcMar>
            <w:vAlign w:val="center"/>
          </w:tcPr>
          <w:p w14:paraId="36DDD273" w14:textId="77777777" w:rsidR="00E95A95" w:rsidRDefault="00306EB2" w:rsidP="00306EB2">
            <w:pPr>
              <w:keepNext/>
              <w:keepLines/>
              <w:spacing w:after="0" w:line="276" w:lineRule="auto"/>
            </w:pPr>
            <w:r>
              <w:rPr>
                <w:sz w:val="18"/>
              </w:rPr>
              <w:t>321</w:t>
            </w:r>
          </w:p>
        </w:tc>
        <w:tc>
          <w:tcPr>
            <w:tcW w:w="1860" w:type="dxa"/>
            <w:tcMar>
              <w:top w:w="0" w:type="dxa"/>
              <w:bottom w:w="0" w:type="dxa"/>
            </w:tcMar>
            <w:vAlign w:val="center"/>
          </w:tcPr>
          <w:p w14:paraId="76DF5D24" w14:textId="77777777" w:rsidR="00E95A95" w:rsidRDefault="00306EB2" w:rsidP="00306EB2">
            <w:pPr>
              <w:keepNext/>
              <w:keepLines/>
              <w:spacing w:after="0" w:line="276" w:lineRule="auto"/>
              <w:jc w:val="right"/>
            </w:pPr>
            <w:r>
              <w:rPr>
                <w:sz w:val="18"/>
              </w:rPr>
              <w:t>79.251,46</w:t>
            </w:r>
          </w:p>
        </w:tc>
        <w:tc>
          <w:tcPr>
            <w:tcW w:w="1860" w:type="dxa"/>
            <w:tcMar>
              <w:top w:w="0" w:type="dxa"/>
              <w:bottom w:w="0" w:type="dxa"/>
            </w:tcMar>
            <w:vAlign w:val="center"/>
          </w:tcPr>
          <w:p w14:paraId="72052656" w14:textId="77777777" w:rsidR="00E95A95" w:rsidRDefault="00306EB2" w:rsidP="00306EB2">
            <w:pPr>
              <w:keepNext/>
              <w:keepLines/>
              <w:spacing w:after="0" w:line="276" w:lineRule="auto"/>
              <w:jc w:val="right"/>
            </w:pPr>
            <w:r>
              <w:rPr>
                <w:sz w:val="18"/>
              </w:rPr>
              <w:t>59.769,50</w:t>
            </w:r>
          </w:p>
        </w:tc>
        <w:tc>
          <w:tcPr>
            <w:tcW w:w="700" w:type="dxa"/>
            <w:tcMar>
              <w:top w:w="0" w:type="dxa"/>
              <w:bottom w:w="0" w:type="dxa"/>
            </w:tcMar>
            <w:vAlign w:val="center"/>
          </w:tcPr>
          <w:p w14:paraId="4A9C9F9C" w14:textId="77777777" w:rsidR="00E95A95" w:rsidRDefault="00306EB2" w:rsidP="00306EB2">
            <w:pPr>
              <w:keepNext/>
              <w:keepLines/>
              <w:spacing w:after="0" w:line="276" w:lineRule="auto"/>
              <w:jc w:val="right"/>
            </w:pPr>
            <w:r>
              <w:rPr>
                <w:sz w:val="18"/>
              </w:rPr>
              <w:t>75,4</w:t>
            </w:r>
          </w:p>
        </w:tc>
      </w:tr>
    </w:tbl>
    <w:p w14:paraId="32777747" w14:textId="77777777" w:rsidR="00E95A95" w:rsidRDefault="00E95A95" w:rsidP="00306EB2">
      <w:pPr>
        <w:spacing w:after="0" w:line="276" w:lineRule="auto"/>
      </w:pPr>
    </w:p>
    <w:p w14:paraId="2C279C76" w14:textId="77777777" w:rsidR="00E95A95" w:rsidRDefault="00306EB2" w:rsidP="00306EB2">
      <w:pPr>
        <w:spacing w:line="276" w:lineRule="auto"/>
        <w:jc w:val="both"/>
      </w:pPr>
      <w:r>
        <w:t>U izvještajnom razdoblju rashodi Naknade troškova zaposlenima iznose 59.769,50 eura što je za 24,6% manje nego što je ostvareno prethodne godine, a odnose se na službena putovanja, prijevoz na posao te stručna usavršavanja. </w:t>
      </w:r>
    </w:p>
    <w:p w14:paraId="06AA2127" w14:textId="77777777" w:rsidR="00E95A95" w:rsidRDefault="00E95A95" w:rsidP="00306EB2">
      <w:pPr>
        <w:spacing w:line="276" w:lineRule="auto"/>
      </w:pPr>
    </w:p>
    <w:p w14:paraId="47C6972E" w14:textId="77777777" w:rsidR="00E95A95" w:rsidRDefault="00306EB2" w:rsidP="00306EB2">
      <w:pPr>
        <w:keepNext/>
        <w:spacing w:line="276"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41FF472D" w14:textId="77777777">
        <w:trPr>
          <w:cantSplit/>
        </w:trPr>
        <w:tc>
          <w:tcPr>
            <w:tcW w:w="700" w:type="dxa"/>
            <w:shd w:val="clear" w:color="auto" w:fill="E7F0F9"/>
            <w:tcMar>
              <w:top w:w="0" w:type="dxa"/>
              <w:bottom w:w="0" w:type="dxa"/>
            </w:tcMar>
            <w:vAlign w:val="center"/>
          </w:tcPr>
          <w:p w14:paraId="28A29A87"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0EE638"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33A29629"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7F6775FD"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6611C"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84A83" w14:textId="77777777" w:rsidR="00E95A95" w:rsidRDefault="00306EB2" w:rsidP="00306EB2">
            <w:pPr>
              <w:keepNext/>
              <w:keepLines/>
              <w:spacing w:after="0" w:line="276" w:lineRule="auto"/>
              <w:jc w:val="center"/>
            </w:pPr>
            <w:r>
              <w:rPr>
                <w:b/>
                <w:sz w:val="18"/>
              </w:rPr>
              <w:t>Indeks (%)</w:t>
            </w:r>
          </w:p>
        </w:tc>
      </w:tr>
      <w:tr w:rsidR="00E95A95" w14:paraId="2E14FF33" w14:textId="77777777">
        <w:trPr>
          <w:cantSplit/>
          <w:trHeight w:val="560"/>
        </w:trPr>
        <w:tc>
          <w:tcPr>
            <w:tcW w:w="700" w:type="dxa"/>
            <w:tcMar>
              <w:top w:w="0" w:type="dxa"/>
              <w:bottom w:w="0" w:type="dxa"/>
            </w:tcMar>
            <w:vAlign w:val="center"/>
          </w:tcPr>
          <w:p w14:paraId="795A5D0A" w14:textId="77777777" w:rsidR="00E95A95" w:rsidRDefault="00306EB2" w:rsidP="00306EB2">
            <w:pPr>
              <w:keepNext/>
              <w:keepLines/>
              <w:spacing w:after="0" w:line="276" w:lineRule="auto"/>
            </w:pPr>
            <w:r>
              <w:rPr>
                <w:sz w:val="18"/>
              </w:rPr>
              <w:t>3222</w:t>
            </w:r>
          </w:p>
        </w:tc>
        <w:tc>
          <w:tcPr>
            <w:tcW w:w="3180" w:type="dxa"/>
            <w:tcMar>
              <w:top w:w="0" w:type="dxa"/>
              <w:bottom w:w="0" w:type="dxa"/>
            </w:tcMar>
            <w:vAlign w:val="center"/>
          </w:tcPr>
          <w:p w14:paraId="1AB044B7" w14:textId="77777777" w:rsidR="00E95A95" w:rsidRDefault="00306EB2" w:rsidP="00306EB2">
            <w:pPr>
              <w:keepNext/>
              <w:keepLines/>
              <w:spacing w:after="0" w:line="276" w:lineRule="auto"/>
            </w:pPr>
            <w:r>
              <w:rPr>
                <w:sz w:val="18"/>
              </w:rPr>
              <w:t>Materijal i sirovine</w:t>
            </w:r>
          </w:p>
        </w:tc>
        <w:tc>
          <w:tcPr>
            <w:tcW w:w="700" w:type="dxa"/>
            <w:tcMar>
              <w:top w:w="0" w:type="dxa"/>
              <w:bottom w:w="0" w:type="dxa"/>
            </w:tcMar>
            <w:vAlign w:val="center"/>
          </w:tcPr>
          <w:p w14:paraId="7748F286" w14:textId="77777777" w:rsidR="00E95A95" w:rsidRDefault="00306EB2" w:rsidP="00306EB2">
            <w:pPr>
              <w:keepNext/>
              <w:keepLines/>
              <w:spacing w:after="0" w:line="276" w:lineRule="auto"/>
            </w:pPr>
            <w:r>
              <w:rPr>
                <w:sz w:val="18"/>
              </w:rPr>
              <w:t>3222</w:t>
            </w:r>
          </w:p>
        </w:tc>
        <w:tc>
          <w:tcPr>
            <w:tcW w:w="1860" w:type="dxa"/>
            <w:tcMar>
              <w:top w:w="0" w:type="dxa"/>
              <w:bottom w:w="0" w:type="dxa"/>
            </w:tcMar>
            <w:vAlign w:val="center"/>
          </w:tcPr>
          <w:p w14:paraId="448CFAE9" w14:textId="77777777" w:rsidR="00E95A95" w:rsidRDefault="00306EB2" w:rsidP="00306EB2">
            <w:pPr>
              <w:keepNext/>
              <w:keepLines/>
              <w:spacing w:after="0" w:line="276" w:lineRule="auto"/>
              <w:jc w:val="right"/>
            </w:pPr>
            <w:r>
              <w:rPr>
                <w:sz w:val="18"/>
              </w:rPr>
              <w:t>2.832,31</w:t>
            </w:r>
          </w:p>
        </w:tc>
        <w:tc>
          <w:tcPr>
            <w:tcW w:w="1860" w:type="dxa"/>
            <w:tcMar>
              <w:top w:w="0" w:type="dxa"/>
              <w:bottom w:w="0" w:type="dxa"/>
            </w:tcMar>
            <w:vAlign w:val="center"/>
          </w:tcPr>
          <w:p w14:paraId="6F829CC6" w14:textId="77777777" w:rsidR="00E95A95" w:rsidRDefault="00306EB2" w:rsidP="00306EB2">
            <w:pPr>
              <w:keepNext/>
              <w:keepLines/>
              <w:spacing w:after="0" w:line="276" w:lineRule="auto"/>
              <w:jc w:val="right"/>
            </w:pPr>
            <w:r>
              <w:rPr>
                <w:sz w:val="18"/>
              </w:rPr>
              <w:t>2.890,20</w:t>
            </w:r>
          </w:p>
        </w:tc>
        <w:tc>
          <w:tcPr>
            <w:tcW w:w="700" w:type="dxa"/>
            <w:tcMar>
              <w:top w:w="0" w:type="dxa"/>
              <w:bottom w:w="0" w:type="dxa"/>
            </w:tcMar>
            <w:vAlign w:val="center"/>
          </w:tcPr>
          <w:p w14:paraId="00C559DC" w14:textId="77777777" w:rsidR="00E95A95" w:rsidRDefault="00306EB2" w:rsidP="00306EB2">
            <w:pPr>
              <w:keepNext/>
              <w:keepLines/>
              <w:spacing w:after="0" w:line="276" w:lineRule="auto"/>
              <w:jc w:val="right"/>
            </w:pPr>
            <w:r>
              <w:rPr>
                <w:sz w:val="18"/>
              </w:rPr>
              <w:t>102,0</w:t>
            </w:r>
          </w:p>
        </w:tc>
      </w:tr>
    </w:tbl>
    <w:p w14:paraId="768F1CCB" w14:textId="77777777" w:rsidR="00E95A95" w:rsidRDefault="00E95A95" w:rsidP="00306EB2">
      <w:pPr>
        <w:spacing w:after="0" w:line="276" w:lineRule="auto"/>
      </w:pPr>
    </w:p>
    <w:p w14:paraId="0DEC269D" w14:textId="692958F5" w:rsidR="00E95A95" w:rsidRDefault="00306EB2" w:rsidP="00306EB2">
      <w:pPr>
        <w:spacing w:line="276" w:lineRule="auto"/>
        <w:jc w:val="both"/>
      </w:pPr>
      <w:r>
        <w:t>Materijal i sirovine- povećanje rashoda za 2%, što podrazumijeva nabavu namirnica za projekt sheme školskog voća.</w:t>
      </w:r>
    </w:p>
    <w:p w14:paraId="3792042A" w14:textId="77777777" w:rsidR="00E95A95" w:rsidRDefault="00306EB2" w:rsidP="00306EB2">
      <w:pPr>
        <w:keepNext/>
        <w:spacing w:line="276"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17ABCAC4" w14:textId="77777777">
        <w:trPr>
          <w:cantSplit/>
        </w:trPr>
        <w:tc>
          <w:tcPr>
            <w:tcW w:w="700" w:type="dxa"/>
            <w:shd w:val="clear" w:color="auto" w:fill="E7F0F9"/>
            <w:tcMar>
              <w:top w:w="0" w:type="dxa"/>
              <w:bottom w:w="0" w:type="dxa"/>
            </w:tcMar>
            <w:vAlign w:val="center"/>
          </w:tcPr>
          <w:p w14:paraId="77B6A2C2"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8EF512"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6B5C9279"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596C0B1D"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F34BC0"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ADD407" w14:textId="77777777" w:rsidR="00E95A95" w:rsidRDefault="00306EB2" w:rsidP="00306EB2">
            <w:pPr>
              <w:keepNext/>
              <w:keepLines/>
              <w:spacing w:after="0" w:line="276" w:lineRule="auto"/>
              <w:jc w:val="center"/>
            </w:pPr>
            <w:r>
              <w:rPr>
                <w:b/>
                <w:sz w:val="18"/>
              </w:rPr>
              <w:t>Indeks (%)</w:t>
            </w:r>
          </w:p>
        </w:tc>
      </w:tr>
      <w:tr w:rsidR="00E95A95" w14:paraId="6DCE01C9" w14:textId="77777777">
        <w:trPr>
          <w:cantSplit/>
          <w:trHeight w:val="560"/>
        </w:trPr>
        <w:tc>
          <w:tcPr>
            <w:tcW w:w="700" w:type="dxa"/>
            <w:tcMar>
              <w:top w:w="0" w:type="dxa"/>
              <w:bottom w:w="0" w:type="dxa"/>
            </w:tcMar>
            <w:vAlign w:val="center"/>
          </w:tcPr>
          <w:p w14:paraId="348E79DA" w14:textId="77777777" w:rsidR="00E95A95" w:rsidRDefault="00306EB2" w:rsidP="00306EB2">
            <w:pPr>
              <w:keepNext/>
              <w:keepLines/>
              <w:spacing w:after="0" w:line="276" w:lineRule="auto"/>
            </w:pPr>
            <w:r>
              <w:rPr>
                <w:sz w:val="18"/>
              </w:rPr>
              <w:t>3232</w:t>
            </w:r>
          </w:p>
        </w:tc>
        <w:tc>
          <w:tcPr>
            <w:tcW w:w="3180" w:type="dxa"/>
            <w:tcMar>
              <w:top w:w="0" w:type="dxa"/>
              <w:bottom w:w="0" w:type="dxa"/>
            </w:tcMar>
            <w:vAlign w:val="center"/>
          </w:tcPr>
          <w:p w14:paraId="58E55FF5" w14:textId="77777777" w:rsidR="00E95A95" w:rsidRDefault="00306EB2" w:rsidP="00306EB2">
            <w:pPr>
              <w:keepNext/>
              <w:keepLines/>
              <w:spacing w:after="0" w:line="276" w:lineRule="auto"/>
            </w:pPr>
            <w:r>
              <w:rPr>
                <w:sz w:val="18"/>
              </w:rPr>
              <w:t>Usluge tekućeg i investicijskog održavanja</w:t>
            </w:r>
          </w:p>
        </w:tc>
        <w:tc>
          <w:tcPr>
            <w:tcW w:w="700" w:type="dxa"/>
            <w:tcMar>
              <w:top w:w="0" w:type="dxa"/>
              <w:bottom w:w="0" w:type="dxa"/>
            </w:tcMar>
            <w:vAlign w:val="center"/>
          </w:tcPr>
          <w:p w14:paraId="729F29F2" w14:textId="77777777" w:rsidR="00E95A95" w:rsidRDefault="00306EB2" w:rsidP="00306EB2">
            <w:pPr>
              <w:keepNext/>
              <w:keepLines/>
              <w:spacing w:after="0" w:line="276" w:lineRule="auto"/>
            </w:pPr>
            <w:r>
              <w:rPr>
                <w:sz w:val="18"/>
              </w:rPr>
              <w:t>3232</w:t>
            </w:r>
          </w:p>
        </w:tc>
        <w:tc>
          <w:tcPr>
            <w:tcW w:w="1860" w:type="dxa"/>
            <w:tcMar>
              <w:top w:w="0" w:type="dxa"/>
              <w:bottom w:w="0" w:type="dxa"/>
            </w:tcMar>
            <w:vAlign w:val="center"/>
          </w:tcPr>
          <w:p w14:paraId="5F1910FD" w14:textId="77777777" w:rsidR="00E95A95" w:rsidRDefault="00306EB2" w:rsidP="00306EB2">
            <w:pPr>
              <w:keepNext/>
              <w:keepLines/>
              <w:spacing w:after="0" w:line="276" w:lineRule="auto"/>
              <w:jc w:val="right"/>
            </w:pPr>
            <w:r>
              <w:rPr>
                <w:sz w:val="18"/>
              </w:rPr>
              <w:t>25.789,13</w:t>
            </w:r>
          </w:p>
        </w:tc>
        <w:tc>
          <w:tcPr>
            <w:tcW w:w="1860" w:type="dxa"/>
            <w:tcMar>
              <w:top w:w="0" w:type="dxa"/>
              <w:bottom w:w="0" w:type="dxa"/>
            </w:tcMar>
            <w:vAlign w:val="center"/>
          </w:tcPr>
          <w:p w14:paraId="5FAD9F49" w14:textId="77777777" w:rsidR="00E95A95" w:rsidRDefault="00306EB2" w:rsidP="00306EB2">
            <w:pPr>
              <w:keepNext/>
              <w:keepLines/>
              <w:spacing w:after="0" w:line="276" w:lineRule="auto"/>
              <w:jc w:val="right"/>
            </w:pPr>
            <w:r>
              <w:rPr>
                <w:sz w:val="18"/>
              </w:rPr>
              <w:t>32.090,78</w:t>
            </w:r>
          </w:p>
        </w:tc>
        <w:tc>
          <w:tcPr>
            <w:tcW w:w="700" w:type="dxa"/>
            <w:tcMar>
              <w:top w:w="0" w:type="dxa"/>
              <w:bottom w:w="0" w:type="dxa"/>
            </w:tcMar>
            <w:vAlign w:val="center"/>
          </w:tcPr>
          <w:p w14:paraId="22C4AA82" w14:textId="77777777" w:rsidR="00E95A95" w:rsidRDefault="00306EB2" w:rsidP="00306EB2">
            <w:pPr>
              <w:keepNext/>
              <w:keepLines/>
              <w:spacing w:after="0" w:line="276" w:lineRule="auto"/>
              <w:jc w:val="right"/>
            </w:pPr>
            <w:r>
              <w:rPr>
                <w:sz w:val="18"/>
              </w:rPr>
              <w:t>124,4</w:t>
            </w:r>
          </w:p>
        </w:tc>
      </w:tr>
    </w:tbl>
    <w:p w14:paraId="13275D94" w14:textId="77777777" w:rsidR="00E95A95" w:rsidRDefault="00E95A95" w:rsidP="00306EB2">
      <w:pPr>
        <w:spacing w:after="0" w:line="276" w:lineRule="auto"/>
      </w:pPr>
    </w:p>
    <w:p w14:paraId="683DBD6C" w14:textId="77777777" w:rsidR="00E95A95" w:rsidRDefault="00306EB2" w:rsidP="00306EB2">
      <w:pPr>
        <w:spacing w:line="276" w:lineRule="auto"/>
        <w:jc w:val="both"/>
      </w:pPr>
      <w:r>
        <w:t>Rashod za usluge tekućeg i investicijskog održavanja je uvećan zbog radova u prostorijama II. gimnazije, ugradnje i izmjena starih dotrajalih svjetiljki po prostorijama škole, te redovitih godišnjih popravaka, sanacije kvara u kotlovnici, ispitivanje instalacija, parketarskih radova i izmjene vertikalne oborinske cijevi u prostoru škole. Ova skupina rashoda iznosi 32.090,78 eura što je za 24,4% više od izvještajnog razdoblja u prethodnoj godini.</w:t>
      </w:r>
    </w:p>
    <w:p w14:paraId="2398BD17" w14:textId="77777777" w:rsidR="00E95A95" w:rsidRDefault="00E95A95" w:rsidP="00306EB2">
      <w:pPr>
        <w:spacing w:line="276" w:lineRule="auto"/>
      </w:pPr>
    </w:p>
    <w:p w14:paraId="359AE190" w14:textId="77777777" w:rsidR="00E95A95" w:rsidRDefault="00306EB2" w:rsidP="00306EB2">
      <w:pPr>
        <w:keepNext/>
        <w:spacing w:line="276"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5DB836F3" w14:textId="77777777">
        <w:trPr>
          <w:cantSplit/>
        </w:trPr>
        <w:tc>
          <w:tcPr>
            <w:tcW w:w="700" w:type="dxa"/>
            <w:shd w:val="clear" w:color="auto" w:fill="E7F0F9"/>
            <w:tcMar>
              <w:top w:w="0" w:type="dxa"/>
              <w:bottom w:w="0" w:type="dxa"/>
            </w:tcMar>
            <w:vAlign w:val="center"/>
          </w:tcPr>
          <w:p w14:paraId="11CC32B9"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C29BC7"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01DF0075"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63212FD7"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3532D0"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EB08AB" w14:textId="77777777" w:rsidR="00E95A95" w:rsidRDefault="00306EB2" w:rsidP="00306EB2">
            <w:pPr>
              <w:keepNext/>
              <w:keepLines/>
              <w:spacing w:after="0" w:line="276" w:lineRule="auto"/>
              <w:jc w:val="center"/>
            </w:pPr>
            <w:r>
              <w:rPr>
                <w:b/>
                <w:sz w:val="18"/>
              </w:rPr>
              <w:t>Indeks (%)</w:t>
            </w:r>
          </w:p>
        </w:tc>
      </w:tr>
      <w:tr w:rsidR="00E95A95" w14:paraId="0AC63E19" w14:textId="77777777">
        <w:trPr>
          <w:cantSplit/>
          <w:trHeight w:val="560"/>
        </w:trPr>
        <w:tc>
          <w:tcPr>
            <w:tcW w:w="700" w:type="dxa"/>
            <w:tcMar>
              <w:top w:w="0" w:type="dxa"/>
              <w:bottom w:w="0" w:type="dxa"/>
            </w:tcMar>
            <w:vAlign w:val="center"/>
          </w:tcPr>
          <w:p w14:paraId="7F20F645" w14:textId="77777777" w:rsidR="00E95A95" w:rsidRDefault="00306EB2" w:rsidP="00306EB2">
            <w:pPr>
              <w:keepNext/>
              <w:keepLines/>
              <w:spacing w:after="0" w:line="276" w:lineRule="auto"/>
            </w:pPr>
            <w:r>
              <w:rPr>
                <w:sz w:val="18"/>
              </w:rPr>
              <w:t>3234</w:t>
            </w:r>
          </w:p>
        </w:tc>
        <w:tc>
          <w:tcPr>
            <w:tcW w:w="3180" w:type="dxa"/>
            <w:tcMar>
              <w:top w:w="0" w:type="dxa"/>
              <w:bottom w:w="0" w:type="dxa"/>
            </w:tcMar>
            <w:vAlign w:val="center"/>
          </w:tcPr>
          <w:p w14:paraId="2E94A7C8" w14:textId="77777777" w:rsidR="00E95A95" w:rsidRDefault="00306EB2" w:rsidP="00306EB2">
            <w:pPr>
              <w:keepNext/>
              <w:keepLines/>
              <w:spacing w:after="0" w:line="276" w:lineRule="auto"/>
            </w:pPr>
            <w:r>
              <w:rPr>
                <w:sz w:val="18"/>
              </w:rPr>
              <w:t>Komunalne usluge</w:t>
            </w:r>
          </w:p>
        </w:tc>
        <w:tc>
          <w:tcPr>
            <w:tcW w:w="700" w:type="dxa"/>
            <w:tcMar>
              <w:top w:w="0" w:type="dxa"/>
              <w:bottom w:w="0" w:type="dxa"/>
            </w:tcMar>
            <w:vAlign w:val="center"/>
          </w:tcPr>
          <w:p w14:paraId="17F58118" w14:textId="77777777" w:rsidR="00E95A95" w:rsidRDefault="00306EB2" w:rsidP="00306EB2">
            <w:pPr>
              <w:keepNext/>
              <w:keepLines/>
              <w:spacing w:after="0" w:line="276" w:lineRule="auto"/>
            </w:pPr>
            <w:r>
              <w:rPr>
                <w:sz w:val="18"/>
              </w:rPr>
              <w:t>3234</w:t>
            </w:r>
          </w:p>
        </w:tc>
        <w:tc>
          <w:tcPr>
            <w:tcW w:w="1860" w:type="dxa"/>
            <w:tcMar>
              <w:top w:w="0" w:type="dxa"/>
              <w:bottom w:w="0" w:type="dxa"/>
            </w:tcMar>
            <w:vAlign w:val="center"/>
          </w:tcPr>
          <w:p w14:paraId="40663C9A" w14:textId="77777777" w:rsidR="00E95A95" w:rsidRDefault="00306EB2" w:rsidP="00306EB2">
            <w:pPr>
              <w:keepNext/>
              <w:keepLines/>
              <w:spacing w:after="0" w:line="276" w:lineRule="auto"/>
              <w:jc w:val="right"/>
            </w:pPr>
            <w:r>
              <w:rPr>
                <w:sz w:val="18"/>
              </w:rPr>
              <w:t>8.775,92</w:t>
            </w:r>
          </w:p>
        </w:tc>
        <w:tc>
          <w:tcPr>
            <w:tcW w:w="1860" w:type="dxa"/>
            <w:tcMar>
              <w:top w:w="0" w:type="dxa"/>
              <w:bottom w:w="0" w:type="dxa"/>
            </w:tcMar>
            <w:vAlign w:val="center"/>
          </w:tcPr>
          <w:p w14:paraId="2D2FB358" w14:textId="77777777" w:rsidR="00E95A95" w:rsidRDefault="00306EB2" w:rsidP="00306EB2">
            <w:pPr>
              <w:keepNext/>
              <w:keepLines/>
              <w:spacing w:after="0" w:line="276" w:lineRule="auto"/>
              <w:jc w:val="right"/>
            </w:pPr>
            <w:r>
              <w:rPr>
                <w:sz w:val="18"/>
              </w:rPr>
              <w:t>10.077,60</w:t>
            </w:r>
          </w:p>
        </w:tc>
        <w:tc>
          <w:tcPr>
            <w:tcW w:w="700" w:type="dxa"/>
            <w:tcMar>
              <w:top w:w="0" w:type="dxa"/>
              <w:bottom w:w="0" w:type="dxa"/>
            </w:tcMar>
            <w:vAlign w:val="center"/>
          </w:tcPr>
          <w:p w14:paraId="19FFF0D1" w14:textId="77777777" w:rsidR="00E95A95" w:rsidRDefault="00306EB2" w:rsidP="00306EB2">
            <w:pPr>
              <w:keepNext/>
              <w:keepLines/>
              <w:spacing w:after="0" w:line="276" w:lineRule="auto"/>
              <w:jc w:val="right"/>
            </w:pPr>
            <w:r>
              <w:rPr>
                <w:sz w:val="18"/>
              </w:rPr>
              <w:t>114,8</w:t>
            </w:r>
          </w:p>
        </w:tc>
      </w:tr>
    </w:tbl>
    <w:p w14:paraId="7248F316" w14:textId="77777777" w:rsidR="00E95A95" w:rsidRDefault="00E95A95" w:rsidP="00306EB2">
      <w:pPr>
        <w:spacing w:after="0" w:line="276" w:lineRule="auto"/>
      </w:pPr>
    </w:p>
    <w:p w14:paraId="73A2810F" w14:textId="77777777" w:rsidR="00E95A95" w:rsidRDefault="00306EB2" w:rsidP="00306EB2">
      <w:pPr>
        <w:spacing w:line="276" w:lineRule="auto"/>
      </w:pPr>
      <w:r>
        <w:t>Došlo je do porast rashoda za komunalne usluge u odnosu na prethodnu godinu za 14,8%.</w:t>
      </w:r>
    </w:p>
    <w:p w14:paraId="3C3E1635" w14:textId="77777777" w:rsidR="00E95A95" w:rsidRDefault="00E95A95" w:rsidP="00306EB2">
      <w:pPr>
        <w:spacing w:line="276" w:lineRule="auto"/>
      </w:pPr>
    </w:p>
    <w:p w14:paraId="34E6CF8A" w14:textId="77777777" w:rsidR="00E95A95" w:rsidRDefault="00306EB2" w:rsidP="00306EB2">
      <w:pPr>
        <w:keepNext/>
        <w:spacing w:line="276"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04312BD7" w14:textId="77777777">
        <w:trPr>
          <w:cantSplit/>
        </w:trPr>
        <w:tc>
          <w:tcPr>
            <w:tcW w:w="700" w:type="dxa"/>
            <w:shd w:val="clear" w:color="auto" w:fill="E7F0F9"/>
            <w:tcMar>
              <w:top w:w="0" w:type="dxa"/>
              <w:bottom w:w="0" w:type="dxa"/>
            </w:tcMar>
            <w:vAlign w:val="center"/>
          </w:tcPr>
          <w:p w14:paraId="15B4A445"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0EBB50"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2634DA82"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54AF7D06"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5C3A2D"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30B8DF" w14:textId="77777777" w:rsidR="00E95A95" w:rsidRDefault="00306EB2" w:rsidP="00306EB2">
            <w:pPr>
              <w:keepNext/>
              <w:keepLines/>
              <w:spacing w:after="0" w:line="276" w:lineRule="auto"/>
              <w:jc w:val="center"/>
            </w:pPr>
            <w:r>
              <w:rPr>
                <w:b/>
                <w:sz w:val="18"/>
              </w:rPr>
              <w:t>Indeks (%)</w:t>
            </w:r>
          </w:p>
        </w:tc>
      </w:tr>
      <w:tr w:rsidR="00E95A95" w14:paraId="5BC1A126" w14:textId="77777777">
        <w:trPr>
          <w:cantSplit/>
          <w:trHeight w:val="560"/>
        </w:trPr>
        <w:tc>
          <w:tcPr>
            <w:tcW w:w="700" w:type="dxa"/>
            <w:tcMar>
              <w:top w:w="0" w:type="dxa"/>
              <w:bottom w:w="0" w:type="dxa"/>
            </w:tcMar>
            <w:vAlign w:val="center"/>
          </w:tcPr>
          <w:p w14:paraId="6D6B8F00" w14:textId="77777777" w:rsidR="00E95A95" w:rsidRDefault="00306EB2" w:rsidP="00306EB2">
            <w:pPr>
              <w:keepNext/>
              <w:keepLines/>
              <w:spacing w:after="0" w:line="276" w:lineRule="auto"/>
            </w:pPr>
            <w:r>
              <w:rPr>
                <w:sz w:val="18"/>
              </w:rPr>
              <w:t>3238</w:t>
            </w:r>
          </w:p>
        </w:tc>
        <w:tc>
          <w:tcPr>
            <w:tcW w:w="3180" w:type="dxa"/>
            <w:tcMar>
              <w:top w:w="0" w:type="dxa"/>
              <w:bottom w:w="0" w:type="dxa"/>
            </w:tcMar>
            <w:vAlign w:val="center"/>
          </w:tcPr>
          <w:p w14:paraId="5259E02B" w14:textId="77777777" w:rsidR="00E95A95" w:rsidRDefault="00306EB2" w:rsidP="00306EB2">
            <w:pPr>
              <w:keepNext/>
              <w:keepLines/>
              <w:spacing w:after="0" w:line="276" w:lineRule="auto"/>
            </w:pPr>
            <w:r>
              <w:rPr>
                <w:sz w:val="18"/>
              </w:rPr>
              <w:t>Računalne usluge</w:t>
            </w:r>
          </w:p>
        </w:tc>
        <w:tc>
          <w:tcPr>
            <w:tcW w:w="700" w:type="dxa"/>
            <w:tcMar>
              <w:top w:w="0" w:type="dxa"/>
              <w:bottom w:w="0" w:type="dxa"/>
            </w:tcMar>
            <w:vAlign w:val="center"/>
          </w:tcPr>
          <w:p w14:paraId="5CF9C47C" w14:textId="77777777" w:rsidR="00E95A95" w:rsidRDefault="00306EB2" w:rsidP="00306EB2">
            <w:pPr>
              <w:keepNext/>
              <w:keepLines/>
              <w:spacing w:after="0" w:line="276" w:lineRule="auto"/>
            </w:pPr>
            <w:r>
              <w:rPr>
                <w:sz w:val="18"/>
              </w:rPr>
              <w:t>3238</w:t>
            </w:r>
          </w:p>
        </w:tc>
        <w:tc>
          <w:tcPr>
            <w:tcW w:w="1860" w:type="dxa"/>
            <w:tcMar>
              <w:top w:w="0" w:type="dxa"/>
              <w:bottom w:w="0" w:type="dxa"/>
            </w:tcMar>
            <w:vAlign w:val="center"/>
          </w:tcPr>
          <w:p w14:paraId="74F3B457" w14:textId="77777777" w:rsidR="00E95A95" w:rsidRDefault="00306EB2" w:rsidP="00306EB2">
            <w:pPr>
              <w:keepNext/>
              <w:keepLines/>
              <w:spacing w:after="0" w:line="276" w:lineRule="auto"/>
              <w:jc w:val="right"/>
            </w:pPr>
            <w:r>
              <w:rPr>
                <w:sz w:val="18"/>
              </w:rPr>
              <w:t>2.614,45</w:t>
            </w:r>
          </w:p>
        </w:tc>
        <w:tc>
          <w:tcPr>
            <w:tcW w:w="1860" w:type="dxa"/>
            <w:tcMar>
              <w:top w:w="0" w:type="dxa"/>
              <w:bottom w:w="0" w:type="dxa"/>
            </w:tcMar>
            <w:vAlign w:val="center"/>
          </w:tcPr>
          <w:p w14:paraId="445A7201" w14:textId="77777777" w:rsidR="00E95A95" w:rsidRDefault="00306EB2" w:rsidP="00306EB2">
            <w:pPr>
              <w:keepNext/>
              <w:keepLines/>
              <w:spacing w:after="0" w:line="276" w:lineRule="auto"/>
              <w:jc w:val="right"/>
            </w:pPr>
            <w:r>
              <w:rPr>
                <w:sz w:val="18"/>
              </w:rPr>
              <w:t>3.045,61</w:t>
            </w:r>
          </w:p>
        </w:tc>
        <w:tc>
          <w:tcPr>
            <w:tcW w:w="700" w:type="dxa"/>
            <w:tcMar>
              <w:top w:w="0" w:type="dxa"/>
              <w:bottom w:w="0" w:type="dxa"/>
            </w:tcMar>
            <w:vAlign w:val="center"/>
          </w:tcPr>
          <w:p w14:paraId="5CD468B4" w14:textId="77777777" w:rsidR="00E95A95" w:rsidRDefault="00306EB2" w:rsidP="00306EB2">
            <w:pPr>
              <w:keepNext/>
              <w:keepLines/>
              <w:spacing w:after="0" w:line="276" w:lineRule="auto"/>
              <w:jc w:val="right"/>
            </w:pPr>
            <w:r>
              <w:rPr>
                <w:sz w:val="18"/>
              </w:rPr>
              <w:t>116,5</w:t>
            </w:r>
          </w:p>
        </w:tc>
      </w:tr>
    </w:tbl>
    <w:p w14:paraId="2E500DE4" w14:textId="77777777" w:rsidR="00E95A95" w:rsidRDefault="00E95A95" w:rsidP="00306EB2">
      <w:pPr>
        <w:spacing w:after="0" w:line="276" w:lineRule="auto"/>
      </w:pPr>
    </w:p>
    <w:p w14:paraId="1C691BC6" w14:textId="401B13B9" w:rsidR="00E95A95" w:rsidRDefault="00306EB2" w:rsidP="00306EB2">
      <w:pPr>
        <w:spacing w:line="276" w:lineRule="auto"/>
        <w:jc w:val="both"/>
      </w:pPr>
      <w:r>
        <w:t>Rashodi za računalne usluge u iznosu od 3.045,61 euro donosi rast od 16,5% u odnosu na prethodnu godinu zbog porasta naknade za održavanje informatičkih sustava u 2025. godini.</w:t>
      </w:r>
    </w:p>
    <w:p w14:paraId="075B3D05" w14:textId="77777777" w:rsidR="00E95A95" w:rsidRDefault="00306EB2" w:rsidP="00306EB2">
      <w:pPr>
        <w:keepNext/>
        <w:spacing w:line="276"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20ADCBF2" w14:textId="77777777">
        <w:trPr>
          <w:cantSplit/>
        </w:trPr>
        <w:tc>
          <w:tcPr>
            <w:tcW w:w="700" w:type="dxa"/>
            <w:shd w:val="clear" w:color="auto" w:fill="E7F0F9"/>
            <w:tcMar>
              <w:top w:w="0" w:type="dxa"/>
              <w:bottom w:w="0" w:type="dxa"/>
            </w:tcMar>
            <w:vAlign w:val="center"/>
          </w:tcPr>
          <w:p w14:paraId="5240A43C"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E96D36"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5A0F7B2B"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1EF51690"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6F420B"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456E86" w14:textId="77777777" w:rsidR="00E95A95" w:rsidRDefault="00306EB2" w:rsidP="00306EB2">
            <w:pPr>
              <w:keepNext/>
              <w:keepLines/>
              <w:spacing w:after="0" w:line="276" w:lineRule="auto"/>
              <w:jc w:val="center"/>
            </w:pPr>
            <w:r>
              <w:rPr>
                <w:b/>
                <w:sz w:val="18"/>
              </w:rPr>
              <w:t>Indeks (%)</w:t>
            </w:r>
          </w:p>
        </w:tc>
      </w:tr>
      <w:tr w:rsidR="00E95A95" w14:paraId="1523688B" w14:textId="77777777">
        <w:trPr>
          <w:cantSplit/>
          <w:trHeight w:val="560"/>
        </w:trPr>
        <w:tc>
          <w:tcPr>
            <w:tcW w:w="700" w:type="dxa"/>
            <w:tcMar>
              <w:top w:w="0" w:type="dxa"/>
              <w:bottom w:w="0" w:type="dxa"/>
            </w:tcMar>
            <w:vAlign w:val="center"/>
          </w:tcPr>
          <w:p w14:paraId="4675BE68" w14:textId="77777777" w:rsidR="00E95A95" w:rsidRDefault="00306EB2" w:rsidP="00306EB2">
            <w:pPr>
              <w:keepNext/>
              <w:keepLines/>
              <w:spacing w:after="0" w:line="276" w:lineRule="auto"/>
            </w:pPr>
            <w:r>
              <w:rPr>
                <w:sz w:val="18"/>
              </w:rPr>
              <w:t>3299</w:t>
            </w:r>
          </w:p>
        </w:tc>
        <w:tc>
          <w:tcPr>
            <w:tcW w:w="3180" w:type="dxa"/>
            <w:tcMar>
              <w:top w:w="0" w:type="dxa"/>
              <w:bottom w:w="0" w:type="dxa"/>
            </w:tcMar>
            <w:vAlign w:val="center"/>
          </w:tcPr>
          <w:p w14:paraId="2E167E2A" w14:textId="77777777" w:rsidR="00E95A95" w:rsidRDefault="00306EB2" w:rsidP="00306EB2">
            <w:pPr>
              <w:keepNext/>
              <w:keepLines/>
              <w:spacing w:after="0" w:line="276" w:lineRule="auto"/>
            </w:pPr>
            <w:r>
              <w:rPr>
                <w:sz w:val="18"/>
              </w:rPr>
              <w:t>Ostali nespomenuti rashodi poslovanja</w:t>
            </w:r>
          </w:p>
        </w:tc>
        <w:tc>
          <w:tcPr>
            <w:tcW w:w="700" w:type="dxa"/>
            <w:tcMar>
              <w:top w:w="0" w:type="dxa"/>
              <w:bottom w:w="0" w:type="dxa"/>
            </w:tcMar>
            <w:vAlign w:val="center"/>
          </w:tcPr>
          <w:p w14:paraId="2FF2D7B1" w14:textId="77777777" w:rsidR="00E95A95" w:rsidRDefault="00306EB2" w:rsidP="00306EB2">
            <w:pPr>
              <w:keepNext/>
              <w:keepLines/>
              <w:spacing w:after="0" w:line="276" w:lineRule="auto"/>
            </w:pPr>
            <w:r>
              <w:rPr>
                <w:sz w:val="18"/>
              </w:rPr>
              <w:t>3299</w:t>
            </w:r>
          </w:p>
        </w:tc>
        <w:tc>
          <w:tcPr>
            <w:tcW w:w="1860" w:type="dxa"/>
            <w:tcMar>
              <w:top w:w="0" w:type="dxa"/>
              <w:bottom w:w="0" w:type="dxa"/>
            </w:tcMar>
            <w:vAlign w:val="center"/>
          </w:tcPr>
          <w:p w14:paraId="12497141" w14:textId="77777777" w:rsidR="00E95A95" w:rsidRDefault="00306EB2" w:rsidP="00306EB2">
            <w:pPr>
              <w:keepNext/>
              <w:keepLines/>
              <w:spacing w:after="0" w:line="276" w:lineRule="auto"/>
              <w:jc w:val="right"/>
            </w:pPr>
            <w:r>
              <w:rPr>
                <w:sz w:val="18"/>
              </w:rPr>
              <w:t>2.547,29</w:t>
            </w:r>
          </w:p>
        </w:tc>
        <w:tc>
          <w:tcPr>
            <w:tcW w:w="1860" w:type="dxa"/>
            <w:tcMar>
              <w:top w:w="0" w:type="dxa"/>
              <w:bottom w:w="0" w:type="dxa"/>
            </w:tcMar>
            <w:vAlign w:val="center"/>
          </w:tcPr>
          <w:p w14:paraId="268A76D3" w14:textId="77777777" w:rsidR="00E95A95" w:rsidRDefault="00306EB2" w:rsidP="00306EB2">
            <w:pPr>
              <w:keepNext/>
              <w:keepLines/>
              <w:spacing w:after="0" w:line="276" w:lineRule="auto"/>
              <w:jc w:val="right"/>
            </w:pPr>
            <w:r>
              <w:rPr>
                <w:sz w:val="18"/>
              </w:rPr>
              <w:t>6.616,99</w:t>
            </w:r>
          </w:p>
        </w:tc>
        <w:tc>
          <w:tcPr>
            <w:tcW w:w="700" w:type="dxa"/>
            <w:tcMar>
              <w:top w:w="0" w:type="dxa"/>
              <w:bottom w:w="0" w:type="dxa"/>
            </w:tcMar>
            <w:vAlign w:val="center"/>
          </w:tcPr>
          <w:p w14:paraId="28FD3693" w14:textId="77777777" w:rsidR="00E95A95" w:rsidRDefault="00306EB2" w:rsidP="00306EB2">
            <w:pPr>
              <w:keepNext/>
              <w:keepLines/>
              <w:spacing w:after="0" w:line="276" w:lineRule="auto"/>
              <w:jc w:val="right"/>
            </w:pPr>
            <w:r>
              <w:rPr>
                <w:sz w:val="18"/>
              </w:rPr>
              <w:t>259,8</w:t>
            </w:r>
          </w:p>
        </w:tc>
      </w:tr>
    </w:tbl>
    <w:p w14:paraId="0A6E4662" w14:textId="77777777" w:rsidR="00E95A95" w:rsidRDefault="00E95A95" w:rsidP="00306EB2">
      <w:pPr>
        <w:spacing w:after="0" w:line="276" w:lineRule="auto"/>
      </w:pPr>
    </w:p>
    <w:p w14:paraId="438EE5AF" w14:textId="77777777" w:rsidR="00E95A95" w:rsidRDefault="00306EB2" w:rsidP="00306EB2">
      <w:pPr>
        <w:spacing w:line="276" w:lineRule="auto"/>
        <w:jc w:val="both"/>
      </w:pPr>
      <w:r>
        <w:t xml:space="preserve">Ostali nespomenuti rashodi poslovanja iznose 6.616,99 eura - porast rashoda za provedbu projekta Druga </w:t>
      </w:r>
      <w:proofErr w:type="spellStart"/>
      <w:r>
        <w:t>runners</w:t>
      </w:r>
      <w:proofErr w:type="spellEnd"/>
      <w:r>
        <w:t xml:space="preserve"> za potrebe sudjelovanja učenika na utrkama </w:t>
      </w:r>
      <w:proofErr w:type="spellStart"/>
      <w:r>
        <w:t>Wings</w:t>
      </w:r>
      <w:proofErr w:type="spellEnd"/>
      <w:r>
        <w:t xml:space="preserve"> for </w:t>
      </w:r>
      <w:proofErr w:type="spellStart"/>
      <w:r>
        <w:t>life</w:t>
      </w:r>
      <w:proofErr w:type="spellEnd"/>
      <w:r>
        <w:t xml:space="preserve"> i Zagrebačkog proljetnog </w:t>
      </w:r>
      <w:proofErr w:type="spellStart"/>
      <w:r>
        <w:t>polumaratona</w:t>
      </w:r>
      <w:proofErr w:type="spellEnd"/>
      <w:r>
        <w:t>, rashod za sudjelovanje učenice na Svjetskom srednjoškolskom debatnom prvenstvu i drugi rashodi.</w:t>
      </w:r>
    </w:p>
    <w:p w14:paraId="5C0E3A5F" w14:textId="77777777" w:rsidR="00E95A95" w:rsidRDefault="00E95A95" w:rsidP="00306EB2">
      <w:pPr>
        <w:spacing w:line="276" w:lineRule="auto"/>
      </w:pPr>
    </w:p>
    <w:p w14:paraId="28E23983" w14:textId="77777777" w:rsidR="00E95A95" w:rsidRDefault="00306EB2" w:rsidP="00306EB2">
      <w:pPr>
        <w:keepNext/>
        <w:spacing w:line="276"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3AF6F22E" w14:textId="77777777">
        <w:trPr>
          <w:cantSplit/>
        </w:trPr>
        <w:tc>
          <w:tcPr>
            <w:tcW w:w="700" w:type="dxa"/>
            <w:shd w:val="clear" w:color="auto" w:fill="E7F0F9"/>
            <w:tcMar>
              <w:top w:w="0" w:type="dxa"/>
              <w:bottom w:w="0" w:type="dxa"/>
            </w:tcMar>
            <w:vAlign w:val="center"/>
          </w:tcPr>
          <w:p w14:paraId="09C518C1"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53667F"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3F9013CB"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15541DAD"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341E6"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03FC68" w14:textId="77777777" w:rsidR="00E95A95" w:rsidRDefault="00306EB2" w:rsidP="00306EB2">
            <w:pPr>
              <w:keepNext/>
              <w:keepLines/>
              <w:spacing w:after="0" w:line="276" w:lineRule="auto"/>
              <w:jc w:val="center"/>
            </w:pPr>
            <w:r>
              <w:rPr>
                <w:b/>
                <w:sz w:val="18"/>
              </w:rPr>
              <w:t>Indeks (%)</w:t>
            </w:r>
          </w:p>
        </w:tc>
      </w:tr>
      <w:tr w:rsidR="00E95A95" w14:paraId="3CA1C623" w14:textId="77777777">
        <w:trPr>
          <w:cantSplit/>
          <w:trHeight w:val="560"/>
        </w:trPr>
        <w:tc>
          <w:tcPr>
            <w:tcW w:w="700" w:type="dxa"/>
            <w:tcMar>
              <w:top w:w="0" w:type="dxa"/>
              <w:bottom w:w="0" w:type="dxa"/>
            </w:tcMar>
            <w:vAlign w:val="center"/>
          </w:tcPr>
          <w:p w14:paraId="2EB5A4BB" w14:textId="77777777" w:rsidR="00E95A95" w:rsidRDefault="00306EB2" w:rsidP="00306EB2">
            <w:pPr>
              <w:keepNext/>
              <w:keepLines/>
              <w:spacing w:after="0" w:line="276" w:lineRule="auto"/>
            </w:pPr>
            <w:r>
              <w:rPr>
                <w:sz w:val="18"/>
              </w:rPr>
              <w:t>3721</w:t>
            </w:r>
          </w:p>
        </w:tc>
        <w:tc>
          <w:tcPr>
            <w:tcW w:w="3180" w:type="dxa"/>
            <w:tcMar>
              <w:top w:w="0" w:type="dxa"/>
              <w:bottom w:w="0" w:type="dxa"/>
            </w:tcMar>
            <w:vAlign w:val="center"/>
          </w:tcPr>
          <w:p w14:paraId="097D617E" w14:textId="77777777" w:rsidR="00E95A95" w:rsidRDefault="00306EB2" w:rsidP="00306EB2">
            <w:pPr>
              <w:keepNext/>
              <w:keepLines/>
              <w:spacing w:after="0" w:line="276" w:lineRule="auto"/>
            </w:pPr>
            <w:r>
              <w:rPr>
                <w:sz w:val="18"/>
              </w:rPr>
              <w:t>Naknade građanima i kućanstvima u novcu</w:t>
            </w:r>
          </w:p>
        </w:tc>
        <w:tc>
          <w:tcPr>
            <w:tcW w:w="700" w:type="dxa"/>
            <w:tcMar>
              <w:top w:w="0" w:type="dxa"/>
              <w:bottom w:w="0" w:type="dxa"/>
            </w:tcMar>
            <w:vAlign w:val="center"/>
          </w:tcPr>
          <w:p w14:paraId="2A11E429" w14:textId="77777777" w:rsidR="00E95A95" w:rsidRDefault="00306EB2" w:rsidP="00306EB2">
            <w:pPr>
              <w:keepNext/>
              <w:keepLines/>
              <w:spacing w:after="0" w:line="276" w:lineRule="auto"/>
            </w:pPr>
            <w:r>
              <w:rPr>
                <w:sz w:val="18"/>
              </w:rPr>
              <w:t>3721</w:t>
            </w:r>
          </w:p>
        </w:tc>
        <w:tc>
          <w:tcPr>
            <w:tcW w:w="1860" w:type="dxa"/>
            <w:tcMar>
              <w:top w:w="0" w:type="dxa"/>
              <w:bottom w:w="0" w:type="dxa"/>
            </w:tcMar>
            <w:vAlign w:val="center"/>
          </w:tcPr>
          <w:p w14:paraId="0B6AB404" w14:textId="77777777" w:rsidR="00E95A95" w:rsidRDefault="00306EB2" w:rsidP="00306EB2">
            <w:pPr>
              <w:keepNext/>
              <w:keepLines/>
              <w:spacing w:after="0" w:line="276" w:lineRule="auto"/>
              <w:jc w:val="right"/>
            </w:pPr>
            <w:r>
              <w:rPr>
                <w:sz w:val="18"/>
              </w:rPr>
              <w:t>2.400,00</w:t>
            </w:r>
          </w:p>
        </w:tc>
        <w:tc>
          <w:tcPr>
            <w:tcW w:w="1860" w:type="dxa"/>
            <w:tcMar>
              <w:top w:w="0" w:type="dxa"/>
              <w:bottom w:w="0" w:type="dxa"/>
            </w:tcMar>
            <w:vAlign w:val="center"/>
          </w:tcPr>
          <w:p w14:paraId="1788BCFF" w14:textId="77777777" w:rsidR="00E95A95" w:rsidRDefault="00306EB2" w:rsidP="00306EB2">
            <w:pPr>
              <w:keepNext/>
              <w:keepLines/>
              <w:spacing w:after="0" w:line="276" w:lineRule="auto"/>
              <w:jc w:val="right"/>
            </w:pPr>
            <w:r>
              <w:rPr>
                <w:sz w:val="18"/>
              </w:rPr>
              <w:t>3.320,00</w:t>
            </w:r>
          </w:p>
        </w:tc>
        <w:tc>
          <w:tcPr>
            <w:tcW w:w="700" w:type="dxa"/>
            <w:tcMar>
              <w:top w:w="0" w:type="dxa"/>
              <w:bottom w:w="0" w:type="dxa"/>
            </w:tcMar>
            <w:vAlign w:val="center"/>
          </w:tcPr>
          <w:p w14:paraId="73C7374F" w14:textId="77777777" w:rsidR="00E95A95" w:rsidRDefault="00306EB2" w:rsidP="00306EB2">
            <w:pPr>
              <w:keepNext/>
              <w:keepLines/>
              <w:spacing w:after="0" w:line="276" w:lineRule="auto"/>
              <w:jc w:val="right"/>
            </w:pPr>
            <w:r>
              <w:rPr>
                <w:sz w:val="18"/>
              </w:rPr>
              <w:t>138,3</w:t>
            </w:r>
          </w:p>
        </w:tc>
      </w:tr>
    </w:tbl>
    <w:p w14:paraId="253B110C" w14:textId="77777777" w:rsidR="00E95A95" w:rsidRDefault="00E95A95" w:rsidP="00306EB2">
      <w:pPr>
        <w:spacing w:after="0" w:line="276" w:lineRule="auto"/>
      </w:pPr>
    </w:p>
    <w:p w14:paraId="6609B526" w14:textId="77777777" w:rsidR="00E95A95" w:rsidRDefault="00306EB2" w:rsidP="00306EB2">
      <w:pPr>
        <w:spacing w:line="276" w:lineRule="auto"/>
        <w:jc w:val="both"/>
      </w:pPr>
      <w:r>
        <w:t xml:space="preserve">Nagrada </w:t>
      </w:r>
      <w:proofErr w:type="spellStart"/>
      <w:r>
        <w:t>Balthazar</w:t>
      </w:r>
      <w:proofErr w:type="spellEnd"/>
      <w:r>
        <w:t xml:space="preserve"> -nagrađivanje novčanom nagradom učenika i nastavnika za izvrsnost koji su na državnim natjecanjima osvojili prvo, drugo ili treće mjesto za mentore i učenike II. gimnazije u ukupnom iznosu od 3.320,00 eura što je za 38% više od prethodne godine.</w:t>
      </w:r>
    </w:p>
    <w:p w14:paraId="1D777110" w14:textId="77777777" w:rsidR="00E95A95" w:rsidRDefault="00E95A95" w:rsidP="00306EB2">
      <w:pPr>
        <w:spacing w:line="276" w:lineRule="auto"/>
      </w:pPr>
    </w:p>
    <w:p w14:paraId="0A3928C4" w14:textId="77777777" w:rsidR="00E95A95" w:rsidRDefault="00306EB2" w:rsidP="00306EB2">
      <w:pPr>
        <w:keepNext/>
        <w:spacing w:line="276"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7F767216" w14:textId="77777777">
        <w:trPr>
          <w:cantSplit/>
        </w:trPr>
        <w:tc>
          <w:tcPr>
            <w:tcW w:w="700" w:type="dxa"/>
            <w:shd w:val="clear" w:color="auto" w:fill="E7F0F9"/>
            <w:tcMar>
              <w:top w:w="0" w:type="dxa"/>
              <w:bottom w:w="0" w:type="dxa"/>
            </w:tcMar>
            <w:vAlign w:val="center"/>
          </w:tcPr>
          <w:p w14:paraId="4DDD9249"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41E55E"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230921BD"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30601A4A"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DD5F6C"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2AA91" w14:textId="77777777" w:rsidR="00E95A95" w:rsidRDefault="00306EB2" w:rsidP="00306EB2">
            <w:pPr>
              <w:keepNext/>
              <w:keepLines/>
              <w:spacing w:after="0" w:line="276" w:lineRule="auto"/>
              <w:jc w:val="center"/>
            </w:pPr>
            <w:r>
              <w:rPr>
                <w:b/>
                <w:sz w:val="18"/>
              </w:rPr>
              <w:t>Indeks (%)</w:t>
            </w:r>
          </w:p>
        </w:tc>
      </w:tr>
      <w:tr w:rsidR="00E95A95" w14:paraId="3A9A4352" w14:textId="77777777">
        <w:trPr>
          <w:cantSplit/>
          <w:trHeight w:val="560"/>
        </w:trPr>
        <w:tc>
          <w:tcPr>
            <w:tcW w:w="700" w:type="dxa"/>
            <w:tcMar>
              <w:top w:w="0" w:type="dxa"/>
              <w:bottom w:w="0" w:type="dxa"/>
            </w:tcMar>
            <w:vAlign w:val="center"/>
          </w:tcPr>
          <w:p w14:paraId="7E03A808" w14:textId="77777777" w:rsidR="00E95A95" w:rsidRDefault="00306EB2" w:rsidP="00306EB2">
            <w:pPr>
              <w:keepNext/>
              <w:keepLines/>
              <w:spacing w:after="0" w:line="276" w:lineRule="auto"/>
            </w:pPr>
            <w:r>
              <w:rPr>
                <w:sz w:val="18"/>
              </w:rPr>
              <w:t>3812</w:t>
            </w:r>
          </w:p>
        </w:tc>
        <w:tc>
          <w:tcPr>
            <w:tcW w:w="3180" w:type="dxa"/>
            <w:tcMar>
              <w:top w:w="0" w:type="dxa"/>
              <w:bottom w:w="0" w:type="dxa"/>
            </w:tcMar>
            <w:vAlign w:val="center"/>
          </w:tcPr>
          <w:p w14:paraId="6D52266D" w14:textId="77777777" w:rsidR="00E95A95" w:rsidRDefault="00306EB2" w:rsidP="00306EB2">
            <w:pPr>
              <w:keepNext/>
              <w:keepLines/>
              <w:spacing w:after="0" w:line="276" w:lineRule="auto"/>
            </w:pPr>
            <w:r>
              <w:rPr>
                <w:sz w:val="18"/>
              </w:rPr>
              <w:t>Tekuće donacije u naravi</w:t>
            </w:r>
          </w:p>
        </w:tc>
        <w:tc>
          <w:tcPr>
            <w:tcW w:w="700" w:type="dxa"/>
            <w:tcMar>
              <w:top w:w="0" w:type="dxa"/>
              <w:bottom w:w="0" w:type="dxa"/>
            </w:tcMar>
            <w:vAlign w:val="center"/>
          </w:tcPr>
          <w:p w14:paraId="0399169E" w14:textId="77777777" w:rsidR="00E95A95" w:rsidRDefault="00306EB2" w:rsidP="00306EB2">
            <w:pPr>
              <w:keepNext/>
              <w:keepLines/>
              <w:spacing w:after="0" w:line="276" w:lineRule="auto"/>
            </w:pPr>
            <w:r>
              <w:rPr>
                <w:sz w:val="18"/>
              </w:rPr>
              <w:t>3812</w:t>
            </w:r>
          </w:p>
        </w:tc>
        <w:tc>
          <w:tcPr>
            <w:tcW w:w="1860" w:type="dxa"/>
            <w:tcMar>
              <w:top w:w="0" w:type="dxa"/>
              <w:bottom w:w="0" w:type="dxa"/>
            </w:tcMar>
            <w:vAlign w:val="center"/>
          </w:tcPr>
          <w:p w14:paraId="230557FC" w14:textId="77777777" w:rsidR="00E95A95" w:rsidRDefault="00306EB2" w:rsidP="00306EB2">
            <w:pPr>
              <w:keepNext/>
              <w:keepLines/>
              <w:spacing w:after="0" w:line="276" w:lineRule="auto"/>
              <w:jc w:val="right"/>
            </w:pPr>
            <w:r>
              <w:rPr>
                <w:sz w:val="18"/>
              </w:rPr>
              <w:t>2.416,58</w:t>
            </w:r>
          </w:p>
        </w:tc>
        <w:tc>
          <w:tcPr>
            <w:tcW w:w="1860" w:type="dxa"/>
            <w:tcMar>
              <w:top w:w="0" w:type="dxa"/>
              <w:bottom w:w="0" w:type="dxa"/>
            </w:tcMar>
            <w:vAlign w:val="center"/>
          </w:tcPr>
          <w:p w14:paraId="1F0D14F2" w14:textId="77777777" w:rsidR="00E95A95" w:rsidRDefault="00306EB2" w:rsidP="00306EB2">
            <w:pPr>
              <w:keepNext/>
              <w:keepLines/>
              <w:spacing w:after="0" w:line="276" w:lineRule="auto"/>
              <w:jc w:val="right"/>
            </w:pPr>
            <w:r>
              <w:rPr>
                <w:sz w:val="18"/>
              </w:rPr>
              <w:t>2.514,43</w:t>
            </w:r>
          </w:p>
        </w:tc>
        <w:tc>
          <w:tcPr>
            <w:tcW w:w="700" w:type="dxa"/>
            <w:tcMar>
              <w:top w:w="0" w:type="dxa"/>
              <w:bottom w:w="0" w:type="dxa"/>
            </w:tcMar>
            <w:vAlign w:val="center"/>
          </w:tcPr>
          <w:p w14:paraId="53E95CCF" w14:textId="77777777" w:rsidR="00E95A95" w:rsidRDefault="00306EB2" w:rsidP="00306EB2">
            <w:pPr>
              <w:keepNext/>
              <w:keepLines/>
              <w:spacing w:after="0" w:line="276" w:lineRule="auto"/>
              <w:jc w:val="right"/>
            </w:pPr>
            <w:r>
              <w:rPr>
                <w:sz w:val="18"/>
              </w:rPr>
              <w:t>104,0</w:t>
            </w:r>
          </w:p>
        </w:tc>
      </w:tr>
    </w:tbl>
    <w:p w14:paraId="4B157DA0" w14:textId="77777777" w:rsidR="00E95A95" w:rsidRDefault="00E95A95" w:rsidP="00306EB2">
      <w:pPr>
        <w:spacing w:after="0" w:line="276" w:lineRule="auto"/>
      </w:pPr>
    </w:p>
    <w:p w14:paraId="12813EFD" w14:textId="77777777" w:rsidR="00E95A95" w:rsidRDefault="00306EB2" w:rsidP="00306EB2">
      <w:pPr>
        <w:spacing w:line="276" w:lineRule="auto"/>
        <w:jc w:val="both"/>
      </w:pPr>
      <w:r>
        <w:t>Tekuće donacije u naravi- Podrazumijeva nabavu menstrualnih higijenskih potrepština za osnovnoškolske i srednjoškolske ustanove području RH, odnosno osigurana sredstva Grada Zagreba temeljem Odluke o kriterijima i načinu dodjele sredstava opskrbe školskih ustanova i skloništa za žene žrtve nasilja besplatnim zalihama menstrualnih higijenskih potrepština.</w:t>
      </w:r>
    </w:p>
    <w:p w14:paraId="035A3DEA" w14:textId="77777777" w:rsidR="00E95A95" w:rsidRDefault="00E95A95" w:rsidP="00306EB2">
      <w:pPr>
        <w:spacing w:line="276" w:lineRule="auto"/>
      </w:pPr>
    </w:p>
    <w:p w14:paraId="3805F0DB" w14:textId="77777777" w:rsidR="00E95A95" w:rsidRDefault="00306EB2" w:rsidP="00306EB2">
      <w:pPr>
        <w:keepNext/>
        <w:spacing w:line="276" w:lineRule="auto"/>
        <w:jc w:val="center"/>
      </w:pPr>
      <w:r>
        <w:rPr>
          <w:b/>
          <w:sz w:val="28"/>
        </w:rPr>
        <w:lastRenderedPageBreak/>
        <w:t>Bilanca</w:t>
      </w:r>
    </w:p>
    <w:p w14:paraId="56F5D9E6" w14:textId="77777777" w:rsidR="00E95A95" w:rsidRDefault="00306EB2" w:rsidP="00306EB2">
      <w:pPr>
        <w:keepNext/>
        <w:spacing w:line="276"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74DC8E33" w14:textId="77777777">
        <w:trPr>
          <w:cantSplit/>
        </w:trPr>
        <w:tc>
          <w:tcPr>
            <w:tcW w:w="700" w:type="dxa"/>
            <w:shd w:val="clear" w:color="auto" w:fill="E7F0F9"/>
            <w:tcMar>
              <w:top w:w="0" w:type="dxa"/>
              <w:bottom w:w="0" w:type="dxa"/>
            </w:tcMar>
            <w:vAlign w:val="center"/>
          </w:tcPr>
          <w:p w14:paraId="30B52C50"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71D826"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77DF089"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3581A398"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496DC061"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127A31FE" w14:textId="77777777" w:rsidR="00E95A95" w:rsidRDefault="00306EB2" w:rsidP="00306EB2">
            <w:pPr>
              <w:keepNext/>
              <w:keepLines/>
              <w:spacing w:after="0" w:line="276" w:lineRule="auto"/>
              <w:jc w:val="center"/>
            </w:pPr>
            <w:r>
              <w:rPr>
                <w:b/>
                <w:sz w:val="18"/>
              </w:rPr>
              <w:t>Indeks (%)</w:t>
            </w:r>
          </w:p>
        </w:tc>
      </w:tr>
      <w:tr w:rsidR="00E95A95" w14:paraId="289E55C6" w14:textId="77777777">
        <w:trPr>
          <w:cantSplit/>
          <w:trHeight w:val="560"/>
        </w:trPr>
        <w:tc>
          <w:tcPr>
            <w:tcW w:w="700" w:type="dxa"/>
            <w:tcMar>
              <w:top w:w="0" w:type="dxa"/>
              <w:bottom w:w="0" w:type="dxa"/>
            </w:tcMar>
            <w:vAlign w:val="center"/>
          </w:tcPr>
          <w:p w14:paraId="4C482BD2" w14:textId="77777777" w:rsidR="00E95A95" w:rsidRDefault="00E95A95" w:rsidP="00306EB2">
            <w:pPr>
              <w:keepNext/>
              <w:keepLines/>
              <w:spacing w:after="0" w:line="276" w:lineRule="auto"/>
            </w:pPr>
          </w:p>
        </w:tc>
        <w:tc>
          <w:tcPr>
            <w:tcW w:w="3180" w:type="dxa"/>
            <w:tcMar>
              <w:top w:w="0" w:type="dxa"/>
              <w:bottom w:w="0" w:type="dxa"/>
            </w:tcMar>
            <w:vAlign w:val="center"/>
          </w:tcPr>
          <w:p w14:paraId="07C5E358" w14:textId="77777777" w:rsidR="00E95A95" w:rsidRDefault="00306EB2" w:rsidP="00306EB2">
            <w:pPr>
              <w:keepNext/>
              <w:keepLines/>
              <w:spacing w:after="0" w:line="276" w:lineRule="auto"/>
            </w:pPr>
            <w:r>
              <w:rPr>
                <w:sz w:val="18"/>
              </w:rPr>
              <w:t>IMOVINA (šifre B002+1)</w:t>
            </w:r>
          </w:p>
        </w:tc>
        <w:tc>
          <w:tcPr>
            <w:tcW w:w="700" w:type="dxa"/>
            <w:tcMar>
              <w:top w:w="0" w:type="dxa"/>
              <w:bottom w:w="0" w:type="dxa"/>
            </w:tcMar>
            <w:vAlign w:val="center"/>
          </w:tcPr>
          <w:p w14:paraId="4DAF6875" w14:textId="77777777" w:rsidR="00E95A95" w:rsidRDefault="00306EB2" w:rsidP="00306EB2">
            <w:pPr>
              <w:keepNext/>
              <w:keepLines/>
              <w:spacing w:after="0" w:line="276" w:lineRule="auto"/>
            </w:pPr>
            <w:r>
              <w:rPr>
                <w:sz w:val="18"/>
              </w:rPr>
              <w:t>B001</w:t>
            </w:r>
          </w:p>
        </w:tc>
        <w:tc>
          <w:tcPr>
            <w:tcW w:w="1860" w:type="dxa"/>
            <w:tcMar>
              <w:top w:w="0" w:type="dxa"/>
              <w:bottom w:w="0" w:type="dxa"/>
            </w:tcMar>
            <w:vAlign w:val="center"/>
          </w:tcPr>
          <w:p w14:paraId="5D4720E7" w14:textId="77777777" w:rsidR="00E95A95" w:rsidRDefault="00306EB2" w:rsidP="00306EB2">
            <w:pPr>
              <w:keepNext/>
              <w:keepLines/>
              <w:spacing w:after="0" w:line="276" w:lineRule="auto"/>
              <w:jc w:val="right"/>
            </w:pPr>
            <w:r>
              <w:rPr>
                <w:sz w:val="18"/>
              </w:rPr>
              <w:t>1.924.775,78</w:t>
            </w:r>
          </w:p>
        </w:tc>
        <w:tc>
          <w:tcPr>
            <w:tcW w:w="1860" w:type="dxa"/>
            <w:tcMar>
              <w:top w:w="0" w:type="dxa"/>
              <w:bottom w:w="0" w:type="dxa"/>
            </w:tcMar>
            <w:vAlign w:val="center"/>
          </w:tcPr>
          <w:p w14:paraId="0CC613F0" w14:textId="77777777" w:rsidR="00E95A95" w:rsidRDefault="00306EB2" w:rsidP="00306EB2">
            <w:pPr>
              <w:keepNext/>
              <w:keepLines/>
              <w:spacing w:after="0" w:line="276" w:lineRule="auto"/>
              <w:jc w:val="right"/>
            </w:pPr>
            <w:r>
              <w:rPr>
                <w:sz w:val="18"/>
              </w:rPr>
              <w:t>1.983.316,30</w:t>
            </w:r>
          </w:p>
        </w:tc>
        <w:tc>
          <w:tcPr>
            <w:tcW w:w="700" w:type="dxa"/>
            <w:tcMar>
              <w:top w:w="0" w:type="dxa"/>
              <w:bottom w:w="0" w:type="dxa"/>
            </w:tcMar>
            <w:vAlign w:val="center"/>
          </w:tcPr>
          <w:p w14:paraId="25F7A5BF" w14:textId="77777777" w:rsidR="00E95A95" w:rsidRDefault="00306EB2" w:rsidP="00306EB2">
            <w:pPr>
              <w:keepNext/>
              <w:keepLines/>
              <w:spacing w:after="0" w:line="276" w:lineRule="auto"/>
              <w:jc w:val="right"/>
            </w:pPr>
            <w:r>
              <w:rPr>
                <w:sz w:val="18"/>
              </w:rPr>
              <w:t>103,0</w:t>
            </w:r>
          </w:p>
        </w:tc>
      </w:tr>
    </w:tbl>
    <w:p w14:paraId="5D4D480C" w14:textId="77777777" w:rsidR="00E95A95" w:rsidRDefault="00E95A95" w:rsidP="00306EB2">
      <w:pPr>
        <w:spacing w:after="0" w:line="276" w:lineRule="auto"/>
      </w:pPr>
    </w:p>
    <w:p w14:paraId="78D1DA42" w14:textId="77777777" w:rsidR="00E95A95" w:rsidRDefault="00306EB2" w:rsidP="00306EB2">
      <w:pPr>
        <w:spacing w:line="276" w:lineRule="auto"/>
        <w:jc w:val="both"/>
      </w:pPr>
      <w:r>
        <w:t>Imovina i potraživanja na dan 31.12.2025. iznosila je 1.983.316,30 eura što je u skladu s obvezama i izvorima.</w:t>
      </w:r>
    </w:p>
    <w:p w14:paraId="25AF1761" w14:textId="77777777" w:rsidR="00E95A95" w:rsidRDefault="00E95A95" w:rsidP="00306EB2">
      <w:pPr>
        <w:spacing w:line="276" w:lineRule="auto"/>
      </w:pPr>
    </w:p>
    <w:p w14:paraId="4920B263" w14:textId="77777777" w:rsidR="00E95A95" w:rsidRDefault="00306EB2" w:rsidP="00306EB2">
      <w:pPr>
        <w:keepNext/>
        <w:spacing w:line="276"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6300FAEE" w14:textId="77777777">
        <w:trPr>
          <w:cantSplit/>
        </w:trPr>
        <w:tc>
          <w:tcPr>
            <w:tcW w:w="700" w:type="dxa"/>
            <w:shd w:val="clear" w:color="auto" w:fill="E7F0F9"/>
            <w:tcMar>
              <w:top w:w="0" w:type="dxa"/>
              <w:bottom w:w="0" w:type="dxa"/>
            </w:tcMar>
            <w:vAlign w:val="center"/>
          </w:tcPr>
          <w:p w14:paraId="06686B1E"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E207A2"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04BB25B"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23064B77"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4389D831"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1A379FFA" w14:textId="77777777" w:rsidR="00E95A95" w:rsidRDefault="00306EB2" w:rsidP="00306EB2">
            <w:pPr>
              <w:keepNext/>
              <w:keepLines/>
              <w:spacing w:after="0" w:line="276" w:lineRule="auto"/>
              <w:jc w:val="center"/>
            </w:pPr>
            <w:r>
              <w:rPr>
                <w:b/>
                <w:sz w:val="18"/>
              </w:rPr>
              <w:t>Indeks (%)</w:t>
            </w:r>
          </w:p>
        </w:tc>
      </w:tr>
      <w:tr w:rsidR="00E95A95" w14:paraId="5FAC5268" w14:textId="77777777">
        <w:trPr>
          <w:cantSplit/>
          <w:trHeight w:val="560"/>
        </w:trPr>
        <w:tc>
          <w:tcPr>
            <w:tcW w:w="700" w:type="dxa"/>
            <w:tcMar>
              <w:top w:w="0" w:type="dxa"/>
              <w:bottom w:w="0" w:type="dxa"/>
            </w:tcMar>
            <w:vAlign w:val="center"/>
          </w:tcPr>
          <w:p w14:paraId="37A776BF" w14:textId="77777777" w:rsidR="00E95A95" w:rsidRDefault="00306EB2" w:rsidP="00306EB2">
            <w:pPr>
              <w:keepNext/>
              <w:keepLines/>
              <w:spacing w:after="0" w:line="276" w:lineRule="auto"/>
            </w:pPr>
            <w:r>
              <w:rPr>
                <w:sz w:val="18"/>
              </w:rPr>
              <w:t>0</w:t>
            </w:r>
          </w:p>
        </w:tc>
        <w:tc>
          <w:tcPr>
            <w:tcW w:w="3180" w:type="dxa"/>
            <w:tcMar>
              <w:top w:w="0" w:type="dxa"/>
              <w:bottom w:w="0" w:type="dxa"/>
            </w:tcMar>
            <w:vAlign w:val="center"/>
          </w:tcPr>
          <w:p w14:paraId="2E8341A6" w14:textId="77777777" w:rsidR="00E95A95" w:rsidRDefault="00306EB2" w:rsidP="00306EB2">
            <w:pPr>
              <w:keepNext/>
              <w:keepLines/>
              <w:spacing w:after="0" w:line="276" w:lineRule="auto"/>
            </w:pPr>
            <w:r>
              <w:rPr>
                <w:sz w:val="18"/>
              </w:rPr>
              <w:t>Nefinancijska imovina (šifre 01+02+03+04+05+06)</w:t>
            </w:r>
          </w:p>
        </w:tc>
        <w:tc>
          <w:tcPr>
            <w:tcW w:w="700" w:type="dxa"/>
            <w:tcMar>
              <w:top w:w="0" w:type="dxa"/>
              <w:bottom w:w="0" w:type="dxa"/>
            </w:tcMar>
            <w:vAlign w:val="center"/>
          </w:tcPr>
          <w:p w14:paraId="7C7A42FC" w14:textId="77777777" w:rsidR="00E95A95" w:rsidRDefault="00306EB2" w:rsidP="00306EB2">
            <w:pPr>
              <w:keepNext/>
              <w:keepLines/>
              <w:spacing w:after="0" w:line="276" w:lineRule="auto"/>
            </w:pPr>
            <w:r>
              <w:rPr>
                <w:sz w:val="18"/>
              </w:rPr>
              <w:t>B002</w:t>
            </w:r>
          </w:p>
        </w:tc>
        <w:tc>
          <w:tcPr>
            <w:tcW w:w="1860" w:type="dxa"/>
            <w:tcMar>
              <w:top w:w="0" w:type="dxa"/>
              <w:bottom w:w="0" w:type="dxa"/>
            </w:tcMar>
            <w:vAlign w:val="center"/>
          </w:tcPr>
          <w:p w14:paraId="7968BAE6" w14:textId="77777777" w:rsidR="00E95A95" w:rsidRDefault="00306EB2" w:rsidP="00306EB2">
            <w:pPr>
              <w:keepNext/>
              <w:keepLines/>
              <w:spacing w:after="0" w:line="276" w:lineRule="auto"/>
              <w:jc w:val="right"/>
            </w:pPr>
            <w:r>
              <w:rPr>
                <w:sz w:val="18"/>
              </w:rPr>
              <w:t>1.745.214,74</w:t>
            </w:r>
          </w:p>
        </w:tc>
        <w:tc>
          <w:tcPr>
            <w:tcW w:w="1860" w:type="dxa"/>
            <w:tcMar>
              <w:top w:w="0" w:type="dxa"/>
              <w:bottom w:w="0" w:type="dxa"/>
            </w:tcMar>
            <w:vAlign w:val="center"/>
          </w:tcPr>
          <w:p w14:paraId="41D70569" w14:textId="77777777" w:rsidR="00E95A95" w:rsidRDefault="00306EB2" w:rsidP="00306EB2">
            <w:pPr>
              <w:keepNext/>
              <w:keepLines/>
              <w:spacing w:after="0" w:line="276" w:lineRule="auto"/>
              <w:jc w:val="right"/>
            </w:pPr>
            <w:r>
              <w:rPr>
                <w:sz w:val="18"/>
              </w:rPr>
              <w:t>1.780.592,60</w:t>
            </w:r>
          </w:p>
        </w:tc>
        <w:tc>
          <w:tcPr>
            <w:tcW w:w="700" w:type="dxa"/>
            <w:tcMar>
              <w:top w:w="0" w:type="dxa"/>
              <w:bottom w:w="0" w:type="dxa"/>
            </w:tcMar>
            <w:vAlign w:val="center"/>
          </w:tcPr>
          <w:p w14:paraId="70F770B9" w14:textId="77777777" w:rsidR="00E95A95" w:rsidRDefault="00306EB2" w:rsidP="00306EB2">
            <w:pPr>
              <w:keepNext/>
              <w:keepLines/>
              <w:spacing w:after="0" w:line="276" w:lineRule="auto"/>
              <w:jc w:val="right"/>
            </w:pPr>
            <w:r>
              <w:rPr>
                <w:sz w:val="18"/>
              </w:rPr>
              <w:t>102,0</w:t>
            </w:r>
          </w:p>
        </w:tc>
      </w:tr>
    </w:tbl>
    <w:p w14:paraId="70E23A84" w14:textId="77777777" w:rsidR="00E95A95" w:rsidRDefault="00E95A95" w:rsidP="00306EB2">
      <w:pPr>
        <w:spacing w:after="0" w:line="276" w:lineRule="auto"/>
      </w:pPr>
    </w:p>
    <w:p w14:paraId="31EBD8E2" w14:textId="77777777" w:rsidR="00E95A95" w:rsidRDefault="00306EB2" w:rsidP="00306EB2">
      <w:pPr>
        <w:spacing w:line="276" w:lineRule="auto"/>
        <w:jc w:val="both"/>
      </w:pPr>
      <w:r>
        <w:t>Nefinancijska imovina škole iznosi 1.780.592,60 eura te nema značajni porast u vrijednosti u odnosu na prethodnu godinu.</w:t>
      </w:r>
    </w:p>
    <w:p w14:paraId="3FEC248D" w14:textId="77777777" w:rsidR="00E95A95" w:rsidRDefault="00E95A95" w:rsidP="00306EB2">
      <w:pPr>
        <w:spacing w:line="276" w:lineRule="auto"/>
      </w:pPr>
    </w:p>
    <w:p w14:paraId="614315E1" w14:textId="77777777" w:rsidR="00E95A95" w:rsidRDefault="00306EB2" w:rsidP="00306EB2">
      <w:pPr>
        <w:keepNext/>
        <w:spacing w:line="276"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3E3B8BD1" w14:textId="77777777">
        <w:trPr>
          <w:cantSplit/>
        </w:trPr>
        <w:tc>
          <w:tcPr>
            <w:tcW w:w="700" w:type="dxa"/>
            <w:shd w:val="clear" w:color="auto" w:fill="E7F0F9"/>
            <w:tcMar>
              <w:top w:w="0" w:type="dxa"/>
              <w:bottom w:w="0" w:type="dxa"/>
            </w:tcMar>
            <w:vAlign w:val="center"/>
          </w:tcPr>
          <w:p w14:paraId="65AB3EB7"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91D47C"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691895D"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484F996A"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30BD4F40"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6996189F" w14:textId="77777777" w:rsidR="00E95A95" w:rsidRDefault="00306EB2" w:rsidP="00306EB2">
            <w:pPr>
              <w:keepNext/>
              <w:keepLines/>
              <w:spacing w:after="0" w:line="276" w:lineRule="auto"/>
              <w:jc w:val="center"/>
            </w:pPr>
            <w:r>
              <w:rPr>
                <w:b/>
                <w:sz w:val="18"/>
              </w:rPr>
              <w:t>Indeks (%)</w:t>
            </w:r>
          </w:p>
        </w:tc>
      </w:tr>
      <w:tr w:rsidR="00E95A95" w14:paraId="37ADD1A9" w14:textId="77777777">
        <w:trPr>
          <w:cantSplit/>
          <w:trHeight w:val="560"/>
        </w:trPr>
        <w:tc>
          <w:tcPr>
            <w:tcW w:w="700" w:type="dxa"/>
            <w:tcMar>
              <w:top w:w="0" w:type="dxa"/>
              <w:bottom w:w="0" w:type="dxa"/>
            </w:tcMar>
            <w:vAlign w:val="center"/>
          </w:tcPr>
          <w:p w14:paraId="0D6F94AA" w14:textId="77777777" w:rsidR="00E95A95" w:rsidRDefault="00306EB2" w:rsidP="00306EB2">
            <w:pPr>
              <w:keepNext/>
              <w:keepLines/>
              <w:spacing w:after="0" w:line="276" w:lineRule="auto"/>
            </w:pPr>
            <w:r>
              <w:rPr>
                <w:sz w:val="18"/>
              </w:rPr>
              <w:t>1</w:t>
            </w:r>
          </w:p>
        </w:tc>
        <w:tc>
          <w:tcPr>
            <w:tcW w:w="3180" w:type="dxa"/>
            <w:tcMar>
              <w:top w:w="0" w:type="dxa"/>
              <w:bottom w:w="0" w:type="dxa"/>
            </w:tcMar>
            <w:vAlign w:val="center"/>
          </w:tcPr>
          <w:p w14:paraId="0CA6F908" w14:textId="77777777" w:rsidR="00E95A95" w:rsidRDefault="00306EB2" w:rsidP="00306EB2">
            <w:pPr>
              <w:keepNext/>
              <w:keepLines/>
              <w:spacing w:after="0" w:line="276" w:lineRule="auto"/>
            </w:pPr>
            <w:r>
              <w:rPr>
                <w:sz w:val="18"/>
              </w:rPr>
              <w:t>Financijska imovina (šifre 11+12+13+14+15+16+17+19)</w:t>
            </w:r>
          </w:p>
        </w:tc>
        <w:tc>
          <w:tcPr>
            <w:tcW w:w="700" w:type="dxa"/>
            <w:tcMar>
              <w:top w:w="0" w:type="dxa"/>
              <w:bottom w:w="0" w:type="dxa"/>
            </w:tcMar>
            <w:vAlign w:val="center"/>
          </w:tcPr>
          <w:p w14:paraId="7CAC4F04" w14:textId="77777777" w:rsidR="00E95A95" w:rsidRDefault="00306EB2" w:rsidP="00306EB2">
            <w:pPr>
              <w:keepNext/>
              <w:keepLines/>
              <w:spacing w:after="0" w:line="276" w:lineRule="auto"/>
            </w:pPr>
            <w:r>
              <w:rPr>
                <w:sz w:val="18"/>
              </w:rPr>
              <w:t>1</w:t>
            </w:r>
          </w:p>
        </w:tc>
        <w:tc>
          <w:tcPr>
            <w:tcW w:w="1860" w:type="dxa"/>
            <w:tcMar>
              <w:top w:w="0" w:type="dxa"/>
              <w:bottom w:w="0" w:type="dxa"/>
            </w:tcMar>
            <w:vAlign w:val="center"/>
          </w:tcPr>
          <w:p w14:paraId="7960459C" w14:textId="77777777" w:rsidR="00E95A95" w:rsidRDefault="00306EB2" w:rsidP="00306EB2">
            <w:pPr>
              <w:keepNext/>
              <w:keepLines/>
              <w:spacing w:after="0" w:line="276" w:lineRule="auto"/>
              <w:jc w:val="right"/>
            </w:pPr>
            <w:r>
              <w:rPr>
                <w:sz w:val="18"/>
              </w:rPr>
              <w:t>179.561,04</w:t>
            </w:r>
          </w:p>
        </w:tc>
        <w:tc>
          <w:tcPr>
            <w:tcW w:w="1860" w:type="dxa"/>
            <w:tcMar>
              <w:top w:w="0" w:type="dxa"/>
              <w:bottom w:w="0" w:type="dxa"/>
            </w:tcMar>
            <w:vAlign w:val="center"/>
          </w:tcPr>
          <w:p w14:paraId="7D5B66EE" w14:textId="77777777" w:rsidR="00E95A95" w:rsidRDefault="00306EB2" w:rsidP="00306EB2">
            <w:pPr>
              <w:keepNext/>
              <w:keepLines/>
              <w:spacing w:after="0" w:line="276" w:lineRule="auto"/>
              <w:jc w:val="right"/>
            </w:pPr>
            <w:r>
              <w:rPr>
                <w:sz w:val="18"/>
              </w:rPr>
              <w:t>202.723,70</w:t>
            </w:r>
          </w:p>
        </w:tc>
        <w:tc>
          <w:tcPr>
            <w:tcW w:w="700" w:type="dxa"/>
            <w:tcMar>
              <w:top w:w="0" w:type="dxa"/>
              <w:bottom w:w="0" w:type="dxa"/>
            </w:tcMar>
            <w:vAlign w:val="center"/>
          </w:tcPr>
          <w:p w14:paraId="3688C301" w14:textId="77777777" w:rsidR="00E95A95" w:rsidRDefault="00306EB2" w:rsidP="00306EB2">
            <w:pPr>
              <w:keepNext/>
              <w:keepLines/>
              <w:spacing w:after="0" w:line="276" w:lineRule="auto"/>
              <w:jc w:val="right"/>
            </w:pPr>
            <w:r>
              <w:rPr>
                <w:sz w:val="18"/>
              </w:rPr>
              <w:t>112,9</w:t>
            </w:r>
          </w:p>
        </w:tc>
      </w:tr>
    </w:tbl>
    <w:p w14:paraId="22510122" w14:textId="77777777" w:rsidR="00E95A95" w:rsidRDefault="00E95A95" w:rsidP="00306EB2">
      <w:pPr>
        <w:spacing w:after="0" w:line="276" w:lineRule="auto"/>
      </w:pPr>
    </w:p>
    <w:p w14:paraId="18A54CCC" w14:textId="77777777" w:rsidR="00E95A95" w:rsidRDefault="00306EB2" w:rsidP="00306EB2">
      <w:pPr>
        <w:spacing w:line="276" w:lineRule="auto"/>
        <w:jc w:val="both"/>
      </w:pPr>
      <w:r>
        <w:t>Financijska imovina škole iznosi 202.723,70 eura u izvještajnom razdoblju, a sastoji se od novčanih sredstava na žiro računu i potraživanja.</w:t>
      </w:r>
    </w:p>
    <w:p w14:paraId="187FE09D" w14:textId="77777777" w:rsidR="00E95A95" w:rsidRDefault="00E95A95" w:rsidP="00306EB2">
      <w:pPr>
        <w:spacing w:line="276" w:lineRule="auto"/>
      </w:pPr>
    </w:p>
    <w:p w14:paraId="7CD8AAD8" w14:textId="77777777" w:rsidR="00E95A95" w:rsidRDefault="00306EB2" w:rsidP="00306EB2">
      <w:pPr>
        <w:keepNext/>
        <w:spacing w:line="276"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173C8877" w14:textId="77777777">
        <w:trPr>
          <w:cantSplit/>
        </w:trPr>
        <w:tc>
          <w:tcPr>
            <w:tcW w:w="700" w:type="dxa"/>
            <w:shd w:val="clear" w:color="auto" w:fill="E7F0F9"/>
            <w:tcMar>
              <w:top w:w="0" w:type="dxa"/>
              <w:bottom w:w="0" w:type="dxa"/>
            </w:tcMar>
            <w:vAlign w:val="center"/>
          </w:tcPr>
          <w:p w14:paraId="1F1F0912"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ABC0E6"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4C13E45D"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322C8F17"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727A2DE2"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543F30B6" w14:textId="77777777" w:rsidR="00E95A95" w:rsidRDefault="00306EB2" w:rsidP="00306EB2">
            <w:pPr>
              <w:keepNext/>
              <w:keepLines/>
              <w:spacing w:after="0" w:line="276" w:lineRule="auto"/>
              <w:jc w:val="center"/>
            </w:pPr>
            <w:r>
              <w:rPr>
                <w:b/>
                <w:sz w:val="18"/>
              </w:rPr>
              <w:t>Indeks (%)</w:t>
            </w:r>
          </w:p>
        </w:tc>
      </w:tr>
      <w:tr w:rsidR="00E95A95" w14:paraId="45FB7515" w14:textId="77777777">
        <w:trPr>
          <w:cantSplit/>
          <w:trHeight w:val="560"/>
        </w:trPr>
        <w:tc>
          <w:tcPr>
            <w:tcW w:w="700" w:type="dxa"/>
            <w:tcMar>
              <w:top w:w="0" w:type="dxa"/>
              <w:bottom w:w="0" w:type="dxa"/>
            </w:tcMar>
            <w:vAlign w:val="center"/>
          </w:tcPr>
          <w:p w14:paraId="084C089D" w14:textId="77777777" w:rsidR="00E95A95" w:rsidRDefault="00306EB2" w:rsidP="00306EB2">
            <w:pPr>
              <w:keepNext/>
              <w:keepLines/>
              <w:spacing w:after="0" w:line="276" w:lineRule="auto"/>
            </w:pPr>
            <w:r>
              <w:rPr>
                <w:sz w:val="18"/>
              </w:rPr>
              <w:t>1112</w:t>
            </w:r>
          </w:p>
        </w:tc>
        <w:tc>
          <w:tcPr>
            <w:tcW w:w="3180" w:type="dxa"/>
            <w:tcMar>
              <w:top w:w="0" w:type="dxa"/>
              <w:bottom w:w="0" w:type="dxa"/>
            </w:tcMar>
            <w:vAlign w:val="center"/>
          </w:tcPr>
          <w:p w14:paraId="67F3182B" w14:textId="77777777" w:rsidR="00E95A95" w:rsidRDefault="00306EB2" w:rsidP="00306EB2">
            <w:pPr>
              <w:keepNext/>
              <w:keepLines/>
              <w:spacing w:after="0" w:line="276" w:lineRule="auto"/>
            </w:pPr>
            <w:r>
              <w:rPr>
                <w:sz w:val="18"/>
              </w:rPr>
              <w:t>Novac na računu kod tuzemnih poslovnih banaka</w:t>
            </w:r>
          </w:p>
        </w:tc>
        <w:tc>
          <w:tcPr>
            <w:tcW w:w="700" w:type="dxa"/>
            <w:tcMar>
              <w:top w:w="0" w:type="dxa"/>
              <w:bottom w:w="0" w:type="dxa"/>
            </w:tcMar>
            <w:vAlign w:val="center"/>
          </w:tcPr>
          <w:p w14:paraId="73F31F1B" w14:textId="77777777" w:rsidR="00E95A95" w:rsidRDefault="00306EB2" w:rsidP="00306EB2">
            <w:pPr>
              <w:keepNext/>
              <w:keepLines/>
              <w:spacing w:after="0" w:line="276" w:lineRule="auto"/>
            </w:pPr>
            <w:r>
              <w:rPr>
                <w:sz w:val="18"/>
              </w:rPr>
              <w:t>1112</w:t>
            </w:r>
          </w:p>
        </w:tc>
        <w:tc>
          <w:tcPr>
            <w:tcW w:w="1860" w:type="dxa"/>
            <w:tcMar>
              <w:top w:w="0" w:type="dxa"/>
              <w:bottom w:w="0" w:type="dxa"/>
            </w:tcMar>
            <w:vAlign w:val="center"/>
          </w:tcPr>
          <w:p w14:paraId="50FD47D1" w14:textId="77777777" w:rsidR="00E95A95" w:rsidRDefault="00306EB2" w:rsidP="00306EB2">
            <w:pPr>
              <w:keepNext/>
              <w:keepLines/>
              <w:spacing w:after="0" w:line="276" w:lineRule="auto"/>
              <w:jc w:val="right"/>
            </w:pPr>
            <w:r>
              <w:rPr>
                <w:sz w:val="18"/>
              </w:rPr>
              <w:t>35.026,75</w:t>
            </w:r>
          </w:p>
        </w:tc>
        <w:tc>
          <w:tcPr>
            <w:tcW w:w="1860" w:type="dxa"/>
            <w:tcMar>
              <w:top w:w="0" w:type="dxa"/>
              <w:bottom w:w="0" w:type="dxa"/>
            </w:tcMar>
            <w:vAlign w:val="center"/>
          </w:tcPr>
          <w:p w14:paraId="1FB90441" w14:textId="77777777" w:rsidR="00E95A95" w:rsidRDefault="00306EB2" w:rsidP="00306EB2">
            <w:pPr>
              <w:keepNext/>
              <w:keepLines/>
              <w:spacing w:after="0" w:line="276" w:lineRule="auto"/>
              <w:jc w:val="right"/>
            </w:pPr>
            <w:r>
              <w:rPr>
                <w:sz w:val="18"/>
              </w:rPr>
              <w:t>49.389,42</w:t>
            </w:r>
          </w:p>
        </w:tc>
        <w:tc>
          <w:tcPr>
            <w:tcW w:w="700" w:type="dxa"/>
            <w:tcMar>
              <w:top w:w="0" w:type="dxa"/>
              <w:bottom w:w="0" w:type="dxa"/>
            </w:tcMar>
            <w:vAlign w:val="center"/>
          </w:tcPr>
          <w:p w14:paraId="17E4F799" w14:textId="77777777" w:rsidR="00E95A95" w:rsidRDefault="00306EB2" w:rsidP="00306EB2">
            <w:pPr>
              <w:keepNext/>
              <w:keepLines/>
              <w:spacing w:after="0" w:line="276" w:lineRule="auto"/>
              <w:jc w:val="right"/>
            </w:pPr>
            <w:r>
              <w:rPr>
                <w:sz w:val="18"/>
              </w:rPr>
              <w:t>141,0</w:t>
            </w:r>
          </w:p>
        </w:tc>
      </w:tr>
    </w:tbl>
    <w:p w14:paraId="5AC791ED" w14:textId="77777777" w:rsidR="00E95A95" w:rsidRDefault="00E95A95" w:rsidP="00306EB2">
      <w:pPr>
        <w:spacing w:after="0" w:line="276" w:lineRule="auto"/>
      </w:pPr>
    </w:p>
    <w:p w14:paraId="35360F22" w14:textId="77777777" w:rsidR="00E95A95" w:rsidRDefault="00306EB2" w:rsidP="00306EB2">
      <w:pPr>
        <w:spacing w:line="276" w:lineRule="auto"/>
        <w:jc w:val="both"/>
      </w:pPr>
      <w:r>
        <w:t>Stanje žiroračuna na kraju izvještajnog razdoblja na datum 31.12. 2025. iznosi 49.389,42 eura.</w:t>
      </w:r>
    </w:p>
    <w:p w14:paraId="75EF639D" w14:textId="77777777" w:rsidR="00E95A95" w:rsidRDefault="00E95A95" w:rsidP="00306EB2">
      <w:pPr>
        <w:spacing w:line="276" w:lineRule="auto"/>
      </w:pPr>
    </w:p>
    <w:p w14:paraId="7BCD7D2F" w14:textId="77777777" w:rsidR="00E95A95" w:rsidRDefault="00306EB2" w:rsidP="00306EB2">
      <w:pPr>
        <w:keepNext/>
        <w:spacing w:line="276"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66265370" w14:textId="77777777">
        <w:trPr>
          <w:cantSplit/>
        </w:trPr>
        <w:tc>
          <w:tcPr>
            <w:tcW w:w="700" w:type="dxa"/>
            <w:shd w:val="clear" w:color="auto" w:fill="E7F0F9"/>
            <w:tcMar>
              <w:top w:w="0" w:type="dxa"/>
              <w:bottom w:w="0" w:type="dxa"/>
            </w:tcMar>
            <w:vAlign w:val="center"/>
          </w:tcPr>
          <w:p w14:paraId="15487DB8"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0BC93F"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43441B6"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13C9DC6E"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421A1E6F"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7F0E642F" w14:textId="77777777" w:rsidR="00E95A95" w:rsidRDefault="00306EB2" w:rsidP="00306EB2">
            <w:pPr>
              <w:keepNext/>
              <w:keepLines/>
              <w:spacing w:after="0" w:line="276" w:lineRule="auto"/>
              <w:jc w:val="center"/>
            </w:pPr>
            <w:r>
              <w:rPr>
                <w:b/>
                <w:sz w:val="18"/>
              </w:rPr>
              <w:t>Indeks (%)</w:t>
            </w:r>
          </w:p>
        </w:tc>
      </w:tr>
      <w:tr w:rsidR="00E95A95" w14:paraId="3C64ED89" w14:textId="77777777">
        <w:trPr>
          <w:cantSplit/>
          <w:trHeight w:val="560"/>
        </w:trPr>
        <w:tc>
          <w:tcPr>
            <w:tcW w:w="700" w:type="dxa"/>
            <w:tcMar>
              <w:top w:w="0" w:type="dxa"/>
              <w:bottom w:w="0" w:type="dxa"/>
            </w:tcMar>
            <w:vAlign w:val="center"/>
          </w:tcPr>
          <w:p w14:paraId="675BCCF9" w14:textId="77777777" w:rsidR="00E95A95" w:rsidRDefault="00306EB2" w:rsidP="00306EB2">
            <w:pPr>
              <w:keepNext/>
              <w:keepLines/>
              <w:spacing w:after="0" w:line="276" w:lineRule="auto"/>
            </w:pPr>
            <w:r>
              <w:rPr>
                <w:sz w:val="18"/>
              </w:rPr>
              <w:t>129</w:t>
            </w:r>
          </w:p>
        </w:tc>
        <w:tc>
          <w:tcPr>
            <w:tcW w:w="3180" w:type="dxa"/>
            <w:tcMar>
              <w:top w:w="0" w:type="dxa"/>
              <w:bottom w:w="0" w:type="dxa"/>
            </w:tcMar>
            <w:vAlign w:val="center"/>
          </w:tcPr>
          <w:p w14:paraId="47D34BC4" w14:textId="77777777" w:rsidR="00E95A95" w:rsidRDefault="00306EB2" w:rsidP="00306EB2">
            <w:pPr>
              <w:keepNext/>
              <w:keepLines/>
              <w:spacing w:after="0" w:line="276" w:lineRule="auto"/>
            </w:pPr>
            <w:r>
              <w:rPr>
                <w:sz w:val="18"/>
              </w:rPr>
              <w:t>Ostala potraživanja</w:t>
            </w:r>
          </w:p>
        </w:tc>
        <w:tc>
          <w:tcPr>
            <w:tcW w:w="700" w:type="dxa"/>
            <w:tcMar>
              <w:top w:w="0" w:type="dxa"/>
              <w:bottom w:w="0" w:type="dxa"/>
            </w:tcMar>
            <w:vAlign w:val="center"/>
          </w:tcPr>
          <w:p w14:paraId="100E79D8" w14:textId="77777777" w:rsidR="00E95A95" w:rsidRDefault="00306EB2" w:rsidP="00306EB2">
            <w:pPr>
              <w:keepNext/>
              <w:keepLines/>
              <w:spacing w:after="0" w:line="276" w:lineRule="auto"/>
            </w:pPr>
            <w:r>
              <w:rPr>
                <w:sz w:val="18"/>
              </w:rPr>
              <w:t>129</w:t>
            </w:r>
          </w:p>
        </w:tc>
        <w:tc>
          <w:tcPr>
            <w:tcW w:w="1860" w:type="dxa"/>
            <w:tcMar>
              <w:top w:w="0" w:type="dxa"/>
              <w:bottom w:w="0" w:type="dxa"/>
            </w:tcMar>
            <w:vAlign w:val="center"/>
          </w:tcPr>
          <w:p w14:paraId="16650C91" w14:textId="77777777" w:rsidR="00E95A95" w:rsidRDefault="00306EB2" w:rsidP="00306EB2">
            <w:pPr>
              <w:keepNext/>
              <w:keepLines/>
              <w:spacing w:after="0" w:line="276" w:lineRule="auto"/>
              <w:jc w:val="right"/>
            </w:pPr>
            <w:r>
              <w:rPr>
                <w:sz w:val="18"/>
              </w:rPr>
              <w:t>829,75</w:t>
            </w:r>
          </w:p>
        </w:tc>
        <w:tc>
          <w:tcPr>
            <w:tcW w:w="1860" w:type="dxa"/>
            <w:tcMar>
              <w:top w:w="0" w:type="dxa"/>
              <w:bottom w:w="0" w:type="dxa"/>
            </w:tcMar>
            <w:vAlign w:val="center"/>
          </w:tcPr>
          <w:p w14:paraId="3D9FD9E3" w14:textId="77777777" w:rsidR="00E95A95" w:rsidRDefault="00306EB2" w:rsidP="00306EB2">
            <w:pPr>
              <w:keepNext/>
              <w:keepLines/>
              <w:spacing w:after="0" w:line="276" w:lineRule="auto"/>
              <w:jc w:val="right"/>
            </w:pPr>
            <w:r>
              <w:rPr>
                <w:sz w:val="18"/>
              </w:rPr>
              <w:t>1.382,25</w:t>
            </w:r>
          </w:p>
        </w:tc>
        <w:tc>
          <w:tcPr>
            <w:tcW w:w="700" w:type="dxa"/>
            <w:tcMar>
              <w:top w:w="0" w:type="dxa"/>
              <w:bottom w:w="0" w:type="dxa"/>
            </w:tcMar>
            <w:vAlign w:val="center"/>
          </w:tcPr>
          <w:p w14:paraId="3876B0AF" w14:textId="77777777" w:rsidR="00E95A95" w:rsidRDefault="00306EB2" w:rsidP="00306EB2">
            <w:pPr>
              <w:keepNext/>
              <w:keepLines/>
              <w:spacing w:after="0" w:line="276" w:lineRule="auto"/>
              <w:jc w:val="right"/>
            </w:pPr>
            <w:r>
              <w:rPr>
                <w:sz w:val="18"/>
              </w:rPr>
              <w:t>166,6</w:t>
            </w:r>
          </w:p>
        </w:tc>
      </w:tr>
    </w:tbl>
    <w:p w14:paraId="06F970F2" w14:textId="77777777" w:rsidR="00E95A95" w:rsidRDefault="00E95A95" w:rsidP="00306EB2">
      <w:pPr>
        <w:spacing w:after="0" w:line="276" w:lineRule="auto"/>
      </w:pPr>
    </w:p>
    <w:p w14:paraId="2A6EB507" w14:textId="77777777" w:rsidR="00E95A95" w:rsidRDefault="00306EB2" w:rsidP="00306EB2">
      <w:pPr>
        <w:spacing w:line="276" w:lineRule="auto"/>
        <w:jc w:val="both"/>
      </w:pPr>
      <w:r>
        <w:t>Ostala potraživanja podrazumijevaju potraživanja za bolovanja na teret HZZO-a i potraživanja od VII. gimnazije temeljem sporazuma od 12.02.1997. godine. Došlo je do odstupanja zbog većeg broja odlazaka djelatnika na bolovanja na teret HZZO-a tijekom 2025. godine u odnosu na prethodnu godinu.</w:t>
      </w:r>
    </w:p>
    <w:p w14:paraId="7423A176" w14:textId="77777777" w:rsidR="00E95A95" w:rsidRDefault="00E95A95" w:rsidP="00306EB2">
      <w:pPr>
        <w:spacing w:line="276" w:lineRule="auto"/>
      </w:pPr>
    </w:p>
    <w:p w14:paraId="15F6167E" w14:textId="77777777" w:rsidR="00E95A95" w:rsidRDefault="00306EB2" w:rsidP="00306EB2">
      <w:pPr>
        <w:keepNext/>
        <w:spacing w:line="276"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04C04948" w14:textId="77777777">
        <w:trPr>
          <w:cantSplit/>
        </w:trPr>
        <w:tc>
          <w:tcPr>
            <w:tcW w:w="700" w:type="dxa"/>
            <w:shd w:val="clear" w:color="auto" w:fill="E7F0F9"/>
            <w:tcMar>
              <w:top w:w="0" w:type="dxa"/>
              <w:bottom w:w="0" w:type="dxa"/>
            </w:tcMar>
            <w:vAlign w:val="center"/>
          </w:tcPr>
          <w:p w14:paraId="1CC9A589"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E0305D"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79AC5771"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63A38D66"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14746BEE"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515D5630" w14:textId="77777777" w:rsidR="00E95A95" w:rsidRDefault="00306EB2" w:rsidP="00306EB2">
            <w:pPr>
              <w:keepNext/>
              <w:keepLines/>
              <w:spacing w:after="0" w:line="276" w:lineRule="auto"/>
              <w:jc w:val="center"/>
            </w:pPr>
            <w:r>
              <w:rPr>
                <w:b/>
                <w:sz w:val="18"/>
              </w:rPr>
              <w:t>Indeks (%)</w:t>
            </w:r>
          </w:p>
        </w:tc>
      </w:tr>
      <w:tr w:rsidR="00E95A95" w14:paraId="16D3193C" w14:textId="77777777">
        <w:trPr>
          <w:cantSplit/>
          <w:trHeight w:val="560"/>
        </w:trPr>
        <w:tc>
          <w:tcPr>
            <w:tcW w:w="700" w:type="dxa"/>
            <w:tcMar>
              <w:top w:w="0" w:type="dxa"/>
              <w:bottom w:w="0" w:type="dxa"/>
            </w:tcMar>
            <w:vAlign w:val="center"/>
          </w:tcPr>
          <w:p w14:paraId="5FC7FA77" w14:textId="77777777" w:rsidR="00E95A95" w:rsidRDefault="00306EB2" w:rsidP="00306EB2">
            <w:pPr>
              <w:keepNext/>
              <w:keepLines/>
              <w:spacing w:after="0" w:line="276" w:lineRule="auto"/>
            </w:pPr>
            <w:r>
              <w:rPr>
                <w:sz w:val="18"/>
              </w:rPr>
              <w:t>1636</w:t>
            </w:r>
          </w:p>
        </w:tc>
        <w:tc>
          <w:tcPr>
            <w:tcW w:w="3180" w:type="dxa"/>
            <w:tcMar>
              <w:top w:w="0" w:type="dxa"/>
              <w:bottom w:w="0" w:type="dxa"/>
            </w:tcMar>
            <w:vAlign w:val="center"/>
          </w:tcPr>
          <w:p w14:paraId="15E0809F" w14:textId="77777777" w:rsidR="00E95A95" w:rsidRDefault="00306EB2" w:rsidP="00306EB2">
            <w:pPr>
              <w:keepNext/>
              <w:keepLines/>
              <w:spacing w:after="0" w:line="276" w:lineRule="auto"/>
            </w:pPr>
            <w:r>
              <w:rPr>
                <w:sz w:val="18"/>
              </w:rPr>
              <w:t>Potraživanja za pomoći proračunskim korisnicima iz proračuna koji im nije nadležan</w:t>
            </w:r>
          </w:p>
        </w:tc>
        <w:tc>
          <w:tcPr>
            <w:tcW w:w="700" w:type="dxa"/>
            <w:tcMar>
              <w:top w:w="0" w:type="dxa"/>
              <w:bottom w:w="0" w:type="dxa"/>
            </w:tcMar>
            <w:vAlign w:val="center"/>
          </w:tcPr>
          <w:p w14:paraId="60B321FC" w14:textId="77777777" w:rsidR="00E95A95" w:rsidRDefault="00306EB2" w:rsidP="00306EB2">
            <w:pPr>
              <w:keepNext/>
              <w:keepLines/>
              <w:spacing w:after="0" w:line="276" w:lineRule="auto"/>
            </w:pPr>
            <w:r>
              <w:rPr>
                <w:sz w:val="18"/>
              </w:rPr>
              <w:t>1636</w:t>
            </w:r>
          </w:p>
        </w:tc>
        <w:tc>
          <w:tcPr>
            <w:tcW w:w="1860" w:type="dxa"/>
            <w:tcMar>
              <w:top w:w="0" w:type="dxa"/>
              <w:bottom w:w="0" w:type="dxa"/>
            </w:tcMar>
            <w:vAlign w:val="center"/>
          </w:tcPr>
          <w:p w14:paraId="532BB2A9" w14:textId="77777777" w:rsidR="00E95A95" w:rsidRDefault="00306EB2" w:rsidP="00306EB2">
            <w:pPr>
              <w:keepNext/>
              <w:keepLines/>
              <w:spacing w:after="0" w:line="276" w:lineRule="auto"/>
              <w:jc w:val="right"/>
            </w:pPr>
            <w:r>
              <w:rPr>
                <w:sz w:val="18"/>
              </w:rPr>
              <w:t>0,00</w:t>
            </w:r>
          </w:p>
        </w:tc>
        <w:tc>
          <w:tcPr>
            <w:tcW w:w="1860" w:type="dxa"/>
            <w:tcMar>
              <w:top w:w="0" w:type="dxa"/>
              <w:bottom w:w="0" w:type="dxa"/>
            </w:tcMar>
            <w:vAlign w:val="center"/>
          </w:tcPr>
          <w:p w14:paraId="4E71EFBC" w14:textId="77777777" w:rsidR="00E95A95" w:rsidRDefault="00306EB2" w:rsidP="00306EB2">
            <w:pPr>
              <w:keepNext/>
              <w:keepLines/>
              <w:spacing w:after="0" w:line="276" w:lineRule="auto"/>
              <w:jc w:val="right"/>
            </w:pPr>
            <w:r>
              <w:rPr>
                <w:sz w:val="18"/>
              </w:rPr>
              <w:t>150.552,53</w:t>
            </w:r>
          </w:p>
        </w:tc>
        <w:tc>
          <w:tcPr>
            <w:tcW w:w="700" w:type="dxa"/>
            <w:tcMar>
              <w:top w:w="0" w:type="dxa"/>
              <w:bottom w:w="0" w:type="dxa"/>
            </w:tcMar>
            <w:vAlign w:val="center"/>
          </w:tcPr>
          <w:p w14:paraId="0406E02F" w14:textId="77777777" w:rsidR="00E95A95" w:rsidRDefault="00306EB2" w:rsidP="00306EB2">
            <w:pPr>
              <w:keepNext/>
              <w:keepLines/>
              <w:spacing w:after="0" w:line="276" w:lineRule="auto"/>
              <w:jc w:val="right"/>
            </w:pPr>
            <w:r>
              <w:rPr>
                <w:sz w:val="18"/>
              </w:rPr>
              <w:t>-</w:t>
            </w:r>
          </w:p>
        </w:tc>
      </w:tr>
    </w:tbl>
    <w:p w14:paraId="3B7BC214" w14:textId="77777777" w:rsidR="00E95A95" w:rsidRDefault="00E95A95" w:rsidP="00306EB2">
      <w:pPr>
        <w:spacing w:after="0" w:line="276" w:lineRule="auto"/>
      </w:pPr>
    </w:p>
    <w:p w14:paraId="15D14459" w14:textId="77777777" w:rsidR="00E95A95" w:rsidRDefault="00306EB2" w:rsidP="00306EB2">
      <w:pPr>
        <w:spacing w:line="276" w:lineRule="auto"/>
        <w:jc w:val="both"/>
      </w:pPr>
      <w:r>
        <w:t>Na kontu 1636 došlo je do odstupanja radi uvođenja novog načina evidentiranja prihoda iz državnog proračuna. Što se odnosi na plaće, materijalna prava za zaposlene te projekte financirane iz državnog proračuna.</w:t>
      </w:r>
    </w:p>
    <w:p w14:paraId="1837BDF6" w14:textId="77777777" w:rsidR="00E95A95" w:rsidRDefault="00E95A95" w:rsidP="00306EB2">
      <w:pPr>
        <w:spacing w:line="276" w:lineRule="auto"/>
      </w:pPr>
    </w:p>
    <w:p w14:paraId="2D7F3F9D" w14:textId="77777777" w:rsidR="00E95A95" w:rsidRDefault="00306EB2" w:rsidP="00306EB2">
      <w:pPr>
        <w:keepNext/>
        <w:spacing w:line="276"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6FF09733" w14:textId="77777777">
        <w:trPr>
          <w:cantSplit/>
        </w:trPr>
        <w:tc>
          <w:tcPr>
            <w:tcW w:w="700" w:type="dxa"/>
            <w:shd w:val="clear" w:color="auto" w:fill="E7F0F9"/>
            <w:tcMar>
              <w:top w:w="0" w:type="dxa"/>
              <w:bottom w:w="0" w:type="dxa"/>
            </w:tcMar>
            <w:vAlign w:val="center"/>
          </w:tcPr>
          <w:p w14:paraId="05B83B30"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C3490D"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69D63C6E"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5AD93774" w14:textId="77777777" w:rsidR="00E95A95" w:rsidRDefault="00306EB2" w:rsidP="00306EB2">
            <w:pPr>
              <w:keepNext/>
              <w:keepLines/>
              <w:spacing w:after="0" w:line="276" w:lineRule="auto"/>
              <w:jc w:val="center"/>
            </w:pPr>
            <w:r>
              <w:rPr>
                <w:b/>
                <w:sz w:val="18"/>
              </w:rPr>
              <w:t>Stanje 1. siječnja</w:t>
            </w:r>
          </w:p>
        </w:tc>
        <w:tc>
          <w:tcPr>
            <w:tcW w:w="1860" w:type="dxa"/>
            <w:shd w:val="clear" w:color="auto" w:fill="E7F0F9"/>
            <w:tcMar>
              <w:top w:w="0" w:type="dxa"/>
              <w:bottom w:w="0" w:type="dxa"/>
            </w:tcMar>
            <w:vAlign w:val="center"/>
          </w:tcPr>
          <w:p w14:paraId="5A3141C5" w14:textId="77777777" w:rsidR="00E95A95" w:rsidRDefault="00306EB2" w:rsidP="00306EB2">
            <w:pPr>
              <w:keepNext/>
              <w:keepLines/>
              <w:spacing w:after="0" w:line="276" w:lineRule="auto"/>
              <w:jc w:val="center"/>
            </w:pPr>
            <w:r>
              <w:rPr>
                <w:b/>
                <w:sz w:val="18"/>
              </w:rPr>
              <w:t>Stanje 31. prosinca</w:t>
            </w:r>
          </w:p>
        </w:tc>
        <w:tc>
          <w:tcPr>
            <w:tcW w:w="700" w:type="dxa"/>
            <w:shd w:val="clear" w:color="auto" w:fill="E7F0F9"/>
            <w:tcMar>
              <w:top w:w="0" w:type="dxa"/>
              <w:bottom w:w="0" w:type="dxa"/>
            </w:tcMar>
            <w:vAlign w:val="center"/>
          </w:tcPr>
          <w:p w14:paraId="2EB4FA3C" w14:textId="77777777" w:rsidR="00E95A95" w:rsidRDefault="00306EB2" w:rsidP="00306EB2">
            <w:pPr>
              <w:keepNext/>
              <w:keepLines/>
              <w:spacing w:after="0" w:line="276" w:lineRule="auto"/>
              <w:jc w:val="center"/>
            </w:pPr>
            <w:r>
              <w:rPr>
                <w:b/>
                <w:sz w:val="18"/>
              </w:rPr>
              <w:t>Indeks (%)</w:t>
            </w:r>
          </w:p>
        </w:tc>
      </w:tr>
      <w:tr w:rsidR="00E95A95" w14:paraId="1F181111" w14:textId="77777777">
        <w:trPr>
          <w:cantSplit/>
          <w:trHeight w:val="560"/>
        </w:trPr>
        <w:tc>
          <w:tcPr>
            <w:tcW w:w="700" w:type="dxa"/>
            <w:tcMar>
              <w:top w:w="0" w:type="dxa"/>
              <w:bottom w:w="0" w:type="dxa"/>
            </w:tcMar>
            <w:vAlign w:val="center"/>
          </w:tcPr>
          <w:p w14:paraId="7BE583B3" w14:textId="77777777" w:rsidR="00E95A95" w:rsidRDefault="00306EB2" w:rsidP="00306EB2">
            <w:pPr>
              <w:keepNext/>
              <w:keepLines/>
              <w:spacing w:after="0" w:line="276" w:lineRule="auto"/>
            </w:pPr>
            <w:r>
              <w:rPr>
                <w:sz w:val="18"/>
              </w:rPr>
              <w:t>27</w:t>
            </w:r>
          </w:p>
        </w:tc>
        <w:tc>
          <w:tcPr>
            <w:tcW w:w="3180" w:type="dxa"/>
            <w:tcMar>
              <w:top w:w="0" w:type="dxa"/>
              <w:bottom w:w="0" w:type="dxa"/>
            </w:tcMar>
            <w:vAlign w:val="center"/>
          </w:tcPr>
          <w:p w14:paraId="2EFA53C1" w14:textId="77777777" w:rsidR="00E95A95" w:rsidRDefault="00306EB2" w:rsidP="00306EB2">
            <w:pPr>
              <w:keepNext/>
              <w:keepLines/>
              <w:spacing w:after="0" w:line="276"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46BD1FA" w14:textId="77777777" w:rsidR="00E95A95" w:rsidRDefault="00306EB2" w:rsidP="00306EB2">
            <w:pPr>
              <w:keepNext/>
              <w:keepLines/>
              <w:spacing w:after="0" w:line="276" w:lineRule="auto"/>
            </w:pPr>
            <w:r>
              <w:rPr>
                <w:sz w:val="18"/>
              </w:rPr>
              <w:t>27</w:t>
            </w:r>
          </w:p>
        </w:tc>
        <w:tc>
          <w:tcPr>
            <w:tcW w:w="1860" w:type="dxa"/>
            <w:tcMar>
              <w:top w:w="0" w:type="dxa"/>
              <w:bottom w:w="0" w:type="dxa"/>
            </w:tcMar>
            <w:vAlign w:val="center"/>
          </w:tcPr>
          <w:p w14:paraId="47634CDF" w14:textId="77777777" w:rsidR="00E95A95" w:rsidRDefault="00306EB2" w:rsidP="00306EB2">
            <w:pPr>
              <w:keepNext/>
              <w:keepLines/>
              <w:spacing w:after="0" w:line="276" w:lineRule="auto"/>
              <w:jc w:val="right"/>
            </w:pPr>
            <w:r>
              <w:rPr>
                <w:sz w:val="18"/>
              </w:rPr>
              <w:t>0,00</w:t>
            </w:r>
          </w:p>
        </w:tc>
        <w:tc>
          <w:tcPr>
            <w:tcW w:w="1860" w:type="dxa"/>
            <w:tcMar>
              <w:top w:w="0" w:type="dxa"/>
              <w:bottom w:w="0" w:type="dxa"/>
            </w:tcMar>
            <w:vAlign w:val="center"/>
          </w:tcPr>
          <w:p w14:paraId="4788D3D0" w14:textId="77777777" w:rsidR="00E95A95" w:rsidRDefault="00306EB2" w:rsidP="00306EB2">
            <w:pPr>
              <w:keepNext/>
              <w:keepLines/>
              <w:spacing w:after="0" w:line="276" w:lineRule="auto"/>
              <w:jc w:val="right"/>
            </w:pPr>
            <w:r>
              <w:rPr>
                <w:sz w:val="18"/>
              </w:rPr>
              <w:t>1.493,69</w:t>
            </w:r>
          </w:p>
        </w:tc>
        <w:tc>
          <w:tcPr>
            <w:tcW w:w="700" w:type="dxa"/>
            <w:tcMar>
              <w:top w:w="0" w:type="dxa"/>
              <w:bottom w:w="0" w:type="dxa"/>
            </w:tcMar>
            <w:vAlign w:val="center"/>
          </w:tcPr>
          <w:p w14:paraId="6732B35E" w14:textId="77777777" w:rsidR="00E95A95" w:rsidRDefault="00306EB2" w:rsidP="00306EB2">
            <w:pPr>
              <w:keepNext/>
              <w:keepLines/>
              <w:spacing w:after="0" w:line="276" w:lineRule="auto"/>
              <w:jc w:val="right"/>
            </w:pPr>
            <w:r>
              <w:rPr>
                <w:sz w:val="18"/>
              </w:rPr>
              <w:t>-</w:t>
            </w:r>
          </w:p>
        </w:tc>
      </w:tr>
    </w:tbl>
    <w:p w14:paraId="79536C93" w14:textId="77777777" w:rsidR="00E95A95" w:rsidRDefault="00E95A95" w:rsidP="00306EB2">
      <w:pPr>
        <w:spacing w:after="0" w:line="276" w:lineRule="auto"/>
      </w:pPr>
    </w:p>
    <w:p w14:paraId="10793479" w14:textId="77777777" w:rsidR="00E95A95" w:rsidRDefault="00306EB2" w:rsidP="00306EB2">
      <w:pPr>
        <w:spacing w:line="276" w:lineRule="auto"/>
        <w:jc w:val="both"/>
      </w:pPr>
      <w:r>
        <w:t>Odstupanje na kontu 27 rezultat je uvođenja novog načina evidentiranja bolovanja na teret HZZO-a tijekom izvještajnog razdoblja.</w:t>
      </w:r>
    </w:p>
    <w:p w14:paraId="14DEBD2F" w14:textId="77777777" w:rsidR="00E95A95" w:rsidRDefault="00E95A95" w:rsidP="00306EB2">
      <w:pPr>
        <w:spacing w:line="276" w:lineRule="auto"/>
      </w:pPr>
    </w:p>
    <w:p w14:paraId="400C6288" w14:textId="77777777" w:rsidR="00E95A95" w:rsidRDefault="00306EB2" w:rsidP="00306EB2">
      <w:pPr>
        <w:keepNext/>
        <w:spacing w:line="276" w:lineRule="auto"/>
        <w:jc w:val="center"/>
      </w:pPr>
      <w:r>
        <w:rPr>
          <w:b/>
          <w:sz w:val="28"/>
        </w:rPr>
        <w:lastRenderedPageBreak/>
        <w:t>Izvještaj o rashodima prema funkcijskoj klasifikaciji</w:t>
      </w:r>
    </w:p>
    <w:p w14:paraId="362CC68F" w14:textId="77777777" w:rsidR="00E95A95" w:rsidRDefault="00306EB2" w:rsidP="00306EB2">
      <w:pPr>
        <w:keepNext/>
        <w:spacing w:line="276"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668C9A7A" w14:textId="77777777">
        <w:trPr>
          <w:cantSplit/>
        </w:trPr>
        <w:tc>
          <w:tcPr>
            <w:tcW w:w="700" w:type="dxa"/>
            <w:shd w:val="clear" w:color="auto" w:fill="E7F0F9"/>
            <w:tcMar>
              <w:top w:w="0" w:type="dxa"/>
              <w:bottom w:w="0" w:type="dxa"/>
            </w:tcMar>
            <w:vAlign w:val="center"/>
          </w:tcPr>
          <w:p w14:paraId="6ECA3CE7"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8F6BC4"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1C26362A"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00F8BBAF" w14:textId="77777777" w:rsidR="00E95A95" w:rsidRDefault="00306EB2" w:rsidP="00306EB2">
            <w:pPr>
              <w:keepNext/>
              <w:keepLines/>
              <w:spacing w:after="0" w:line="276"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44D48E" w14:textId="77777777" w:rsidR="00E95A95" w:rsidRDefault="00306EB2" w:rsidP="00306EB2">
            <w:pPr>
              <w:keepNext/>
              <w:keepLines/>
              <w:spacing w:after="0" w:line="276"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9B3D54" w14:textId="77777777" w:rsidR="00E95A95" w:rsidRDefault="00306EB2" w:rsidP="00306EB2">
            <w:pPr>
              <w:keepNext/>
              <w:keepLines/>
              <w:spacing w:after="0" w:line="276" w:lineRule="auto"/>
              <w:jc w:val="center"/>
            </w:pPr>
            <w:r>
              <w:rPr>
                <w:b/>
                <w:sz w:val="18"/>
              </w:rPr>
              <w:t>Indeks (%)</w:t>
            </w:r>
          </w:p>
        </w:tc>
      </w:tr>
      <w:tr w:rsidR="00E95A95" w14:paraId="4D36F8B7" w14:textId="77777777">
        <w:trPr>
          <w:cantSplit/>
          <w:trHeight w:val="560"/>
        </w:trPr>
        <w:tc>
          <w:tcPr>
            <w:tcW w:w="700" w:type="dxa"/>
            <w:tcMar>
              <w:top w:w="0" w:type="dxa"/>
              <w:bottom w:w="0" w:type="dxa"/>
            </w:tcMar>
            <w:vAlign w:val="center"/>
          </w:tcPr>
          <w:p w14:paraId="3B0F27CB" w14:textId="77777777" w:rsidR="00E95A95" w:rsidRDefault="00306EB2" w:rsidP="00306EB2">
            <w:pPr>
              <w:keepNext/>
              <w:keepLines/>
              <w:spacing w:after="0" w:line="276" w:lineRule="auto"/>
            </w:pPr>
            <w:r>
              <w:rPr>
                <w:sz w:val="18"/>
              </w:rPr>
              <w:t>09</w:t>
            </w:r>
          </w:p>
        </w:tc>
        <w:tc>
          <w:tcPr>
            <w:tcW w:w="3180" w:type="dxa"/>
            <w:tcMar>
              <w:top w:w="0" w:type="dxa"/>
              <w:bottom w:w="0" w:type="dxa"/>
            </w:tcMar>
            <w:vAlign w:val="center"/>
          </w:tcPr>
          <w:p w14:paraId="4F7658AF" w14:textId="77777777" w:rsidR="00E95A95" w:rsidRDefault="00306EB2" w:rsidP="00306EB2">
            <w:pPr>
              <w:keepNext/>
              <w:keepLines/>
              <w:spacing w:after="0" w:line="276" w:lineRule="auto"/>
            </w:pPr>
            <w:r>
              <w:rPr>
                <w:sz w:val="18"/>
              </w:rPr>
              <w:t>Obrazovanje (šifre 091+092+093+094+095+096+097+098)</w:t>
            </w:r>
          </w:p>
        </w:tc>
        <w:tc>
          <w:tcPr>
            <w:tcW w:w="700" w:type="dxa"/>
            <w:tcMar>
              <w:top w:w="0" w:type="dxa"/>
              <w:bottom w:w="0" w:type="dxa"/>
            </w:tcMar>
            <w:vAlign w:val="center"/>
          </w:tcPr>
          <w:p w14:paraId="0A35056C" w14:textId="77777777" w:rsidR="00E95A95" w:rsidRDefault="00306EB2" w:rsidP="00306EB2">
            <w:pPr>
              <w:keepNext/>
              <w:keepLines/>
              <w:spacing w:after="0" w:line="276" w:lineRule="auto"/>
            </w:pPr>
            <w:r>
              <w:rPr>
                <w:sz w:val="18"/>
              </w:rPr>
              <w:t>09</w:t>
            </w:r>
          </w:p>
        </w:tc>
        <w:tc>
          <w:tcPr>
            <w:tcW w:w="1860" w:type="dxa"/>
            <w:tcMar>
              <w:top w:w="0" w:type="dxa"/>
              <w:bottom w:w="0" w:type="dxa"/>
            </w:tcMar>
            <w:vAlign w:val="center"/>
          </w:tcPr>
          <w:p w14:paraId="2F1DBD87" w14:textId="77777777" w:rsidR="00E95A95" w:rsidRDefault="00306EB2" w:rsidP="00306EB2">
            <w:pPr>
              <w:keepNext/>
              <w:keepLines/>
              <w:spacing w:after="0" w:line="276" w:lineRule="auto"/>
              <w:jc w:val="right"/>
            </w:pPr>
            <w:r>
              <w:rPr>
                <w:sz w:val="18"/>
              </w:rPr>
              <w:t>2.015.189,83</w:t>
            </w:r>
          </w:p>
        </w:tc>
        <w:tc>
          <w:tcPr>
            <w:tcW w:w="1860" w:type="dxa"/>
            <w:tcMar>
              <w:top w:w="0" w:type="dxa"/>
              <w:bottom w:w="0" w:type="dxa"/>
            </w:tcMar>
            <w:vAlign w:val="center"/>
          </w:tcPr>
          <w:p w14:paraId="22FCADD9" w14:textId="77777777" w:rsidR="00E95A95" w:rsidRDefault="00306EB2" w:rsidP="00306EB2">
            <w:pPr>
              <w:keepNext/>
              <w:keepLines/>
              <w:spacing w:after="0" w:line="276" w:lineRule="auto"/>
              <w:jc w:val="right"/>
            </w:pPr>
            <w:r>
              <w:rPr>
                <w:sz w:val="18"/>
              </w:rPr>
              <w:t>2.190.833,01</w:t>
            </w:r>
          </w:p>
        </w:tc>
        <w:tc>
          <w:tcPr>
            <w:tcW w:w="700" w:type="dxa"/>
            <w:tcMar>
              <w:top w:w="0" w:type="dxa"/>
              <w:bottom w:w="0" w:type="dxa"/>
            </w:tcMar>
            <w:vAlign w:val="center"/>
          </w:tcPr>
          <w:p w14:paraId="52A63473" w14:textId="77777777" w:rsidR="00E95A95" w:rsidRDefault="00306EB2" w:rsidP="00306EB2">
            <w:pPr>
              <w:keepNext/>
              <w:keepLines/>
              <w:spacing w:after="0" w:line="276" w:lineRule="auto"/>
              <w:jc w:val="right"/>
            </w:pPr>
            <w:r>
              <w:rPr>
                <w:sz w:val="18"/>
              </w:rPr>
              <w:t>108,7</w:t>
            </w:r>
          </w:p>
        </w:tc>
      </w:tr>
    </w:tbl>
    <w:p w14:paraId="50F0759F" w14:textId="77777777" w:rsidR="00E95A95" w:rsidRDefault="00E95A95" w:rsidP="00306EB2">
      <w:pPr>
        <w:spacing w:after="0" w:line="276" w:lineRule="auto"/>
      </w:pPr>
    </w:p>
    <w:p w14:paraId="33DD393E" w14:textId="77777777" w:rsidR="00E95A95" w:rsidRDefault="00306EB2" w:rsidP="00306EB2">
      <w:pPr>
        <w:spacing w:line="276" w:lineRule="auto"/>
        <w:jc w:val="both"/>
      </w:pPr>
      <w:r>
        <w:t>Podrazumijeva ukupne rashode u iznosu od 2.190.833,01 eura koji su iskazani u obrascu PR-RAS pod šifrom Y034. II. Gimnazija Zagreb proračunski je korisnik jedinice lokalne i područne (regionalne) samouprave u okviru funkcije obrazovanja: (0922)- Više srednjoškolsko obrazovanje uvedeni su rashodi vezani uz funkciju 09- Obrazovanje.</w:t>
      </w:r>
    </w:p>
    <w:p w14:paraId="48E9C941" w14:textId="77777777" w:rsidR="00E95A95" w:rsidRDefault="00E95A95" w:rsidP="00306EB2">
      <w:pPr>
        <w:spacing w:line="276" w:lineRule="auto"/>
      </w:pPr>
    </w:p>
    <w:p w14:paraId="4BDA9243" w14:textId="77777777" w:rsidR="00E95A95" w:rsidRDefault="00306EB2" w:rsidP="00306EB2">
      <w:pPr>
        <w:keepNext/>
        <w:spacing w:line="276" w:lineRule="auto"/>
        <w:jc w:val="center"/>
      </w:pPr>
      <w:r>
        <w:rPr>
          <w:b/>
          <w:sz w:val="28"/>
        </w:rPr>
        <w:t>Promjene u vrijednosti i obujmu imovine i obveza</w:t>
      </w:r>
    </w:p>
    <w:p w14:paraId="1B29F167" w14:textId="77777777" w:rsidR="00E95A95" w:rsidRDefault="00306EB2" w:rsidP="00306EB2">
      <w:pPr>
        <w:keepNext/>
        <w:spacing w:line="276"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5A95" w14:paraId="1585D4BF" w14:textId="77777777">
        <w:trPr>
          <w:cantSplit/>
        </w:trPr>
        <w:tc>
          <w:tcPr>
            <w:tcW w:w="700" w:type="dxa"/>
            <w:shd w:val="clear" w:color="auto" w:fill="E7F0F9"/>
            <w:tcMar>
              <w:top w:w="0" w:type="dxa"/>
              <w:bottom w:w="0" w:type="dxa"/>
            </w:tcMar>
            <w:vAlign w:val="center"/>
          </w:tcPr>
          <w:p w14:paraId="331EC6D3"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BE4E4A"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25CE4B38"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7628711E" w14:textId="77777777" w:rsidR="00E95A95" w:rsidRDefault="00306EB2" w:rsidP="00306EB2">
            <w:pPr>
              <w:keepNext/>
              <w:keepLines/>
              <w:spacing w:after="0" w:line="276" w:lineRule="auto"/>
              <w:jc w:val="center"/>
            </w:pPr>
            <w:r>
              <w:rPr>
                <w:b/>
                <w:sz w:val="18"/>
              </w:rPr>
              <w:t>Iznos povećanja</w:t>
            </w:r>
          </w:p>
        </w:tc>
        <w:tc>
          <w:tcPr>
            <w:tcW w:w="1860" w:type="dxa"/>
            <w:shd w:val="clear" w:color="auto" w:fill="E7F0F9"/>
            <w:tcMar>
              <w:top w:w="0" w:type="dxa"/>
              <w:bottom w:w="0" w:type="dxa"/>
            </w:tcMar>
            <w:vAlign w:val="center"/>
          </w:tcPr>
          <w:p w14:paraId="08887A92" w14:textId="77777777" w:rsidR="00E95A95" w:rsidRDefault="00306EB2" w:rsidP="00306EB2">
            <w:pPr>
              <w:keepNext/>
              <w:keepLines/>
              <w:spacing w:after="0" w:line="276" w:lineRule="auto"/>
              <w:jc w:val="center"/>
            </w:pPr>
            <w:r>
              <w:rPr>
                <w:b/>
                <w:sz w:val="18"/>
              </w:rPr>
              <w:t>Iznos smanjenja</w:t>
            </w:r>
          </w:p>
        </w:tc>
        <w:tc>
          <w:tcPr>
            <w:tcW w:w="700" w:type="dxa"/>
            <w:shd w:val="clear" w:color="auto" w:fill="E7F0F9"/>
            <w:tcMar>
              <w:top w:w="0" w:type="dxa"/>
              <w:bottom w:w="0" w:type="dxa"/>
            </w:tcMar>
            <w:vAlign w:val="center"/>
          </w:tcPr>
          <w:p w14:paraId="76D2F174" w14:textId="77777777" w:rsidR="00E95A95" w:rsidRDefault="00306EB2" w:rsidP="00306EB2">
            <w:pPr>
              <w:keepNext/>
              <w:keepLines/>
              <w:spacing w:after="0" w:line="276" w:lineRule="auto"/>
              <w:jc w:val="center"/>
            </w:pPr>
            <w:r>
              <w:rPr>
                <w:b/>
                <w:sz w:val="18"/>
              </w:rPr>
              <w:t>Indeks (%)</w:t>
            </w:r>
          </w:p>
        </w:tc>
      </w:tr>
      <w:tr w:rsidR="00E95A95" w14:paraId="23587C21" w14:textId="77777777">
        <w:trPr>
          <w:cantSplit/>
          <w:trHeight w:val="560"/>
        </w:trPr>
        <w:tc>
          <w:tcPr>
            <w:tcW w:w="700" w:type="dxa"/>
            <w:tcMar>
              <w:top w:w="0" w:type="dxa"/>
              <w:bottom w:w="0" w:type="dxa"/>
            </w:tcMar>
            <w:vAlign w:val="center"/>
          </w:tcPr>
          <w:p w14:paraId="4A3F628D" w14:textId="77777777" w:rsidR="00E95A95" w:rsidRDefault="00E95A95" w:rsidP="00306EB2">
            <w:pPr>
              <w:keepNext/>
              <w:keepLines/>
              <w:spacing w:after="0" w:line="276" w:lineRule="auto"/>
            </w:pPr>
          </w:p>
        </w:tc>
        <w:tc>
          <w:tcPr>
            <w:tcW w:w="3180" w:type="dxa"/>
            <w:tcMar>
              <w:top w:w="0" w:type="dxa"/>
              <w:bottom w:w="0" w:type="dxa"/>
            </w:tcMar>
            <w:vAlign w:val="center"/>
          </w:tcPr>
          <w:p w14:paraId="7CB499C7" w14:textId="77777777" w:rsidR="00E95A95" w:rsidRDefault="00306EB2" w:rsidP="00306EB2">
            <w:pPr>
              <w:keepNext/>
              <w:keepLines/>
              <w:spacing w:after="0" w:line="276" w:lineRule="auto"/>
            </w:pPr>
            <w:r>
              <w:rPr>
                <w:sz w:val="18"/>
              </w:rPr>
              <w:t>Promjene u obujmu nefinancijske imovine (šifre P017 do P022)</w:t>
            </w:r>
          </w:p>
        </w:tc>
        <w:tc>
          <w:tcPr>
            <w:tcW w:w="700" w:type="dxa"/>
            <w:tcMar>
              <w:top w:w="0" w:type="dxa"/>
              <w:bottom w:w="0" w:type="dxa"/>
            </w:tcMar>
            <w:vAlign w:val="center"/>
          </w:tcPr>
          <w:p w14:paraId="377C7056" w14:textId="77777777" w:rsidR="00E95A95" w:rsidRDefault="00306EB2" w:rsidP="00306EB2">
            <w:pPr>
              <w:keepNext/>
              <w:keepLines/>
              <w:spacing w:after="0" w:line="276" w:lineRule="auto"/>
            </w:pPr>
            <w:r>
              <w:rPr>
                <w:sz w:val="18"/>
              </w:rPr>
              <w:t>P016</w:t>
            </w:r>
          </w:p>
        </w:tc>
        <w:tc>
          <w:tcPr>
            <w:tcW w:w="1860" w:type="dxa"/>
            <w:tcMar>
              <w:top w:w="0" w:type="dxa"/>
              <w:bottom w:w="0" w:type="dxa"/>
            </w:tcMar>
            <w:vAlign w:val="center"/>
          </w:tcPr>
          <w:p w14:paraId="3BEE75A0" w14:textId="77777777" w:rsidR="00E95A95" w:rsidRDefault="00306EB2" w:rsidP="00306EB2">
            <w:pPr>
              <w:keepNext/>
              <w:keepLines/>
              <w:spacing w:after="0" w:line="276" w:lineRule="auto"/>
              <w:jc w:val="right"/>
            </w:pPr>
            <w:r>
              <w:rPr>
                <w:sz w:val="18"/>
              </w:rPr>
              <w:t>900,00</w:t>
            </w:r>
          </w:p>
        </w:tc>
        <w:tc>
          <w:tcPr>
            <w:tcW w:w="1860" w:type="dxa"/>
            <w:tcMar>
              <w:top w:w="0" w:type="dxa"/>
              <w:bottom w:w="0" w:type="dxa"/>
            </w:tcMar>
            <w:vAlign w:val="center"/>
          </w:tcPr>
          <w:p w14:paraId="4623418F" w14:textId="77777777" w:rsidR="00E95A95" w:rsidRDefault="00306EB2" w:rsidP="00306EB2">
            <w:pPr>
              <w:keepNext/>
              <w:keepLines/>
              <w:spacing w:after="0" w:line="276" w:lineRule="auto"/>
              <w:jc w:val="right"/>
            </w:pPr>
            <w:r>
              <w:rPr>
                <w:sz w:val="18"/>
              </w:rPr>
              <w:t>0,00</w:t>
            </w:r>
          </w:p>
        </w:tc>
        <w:tc>
          <w:tcPr>
            <w:tcW w:w="700" w:type="dxa"/>
            <w:tcMar>
              <w:top w:w="0" w:type="dxa"/>
              <w:bottom w:w="0" w:type="dxa"/>
            </w:tcMar>
            <w:vAlign w:val="center"/>
          </w:tcPr>
          <w:p w14:paraId="5196DAE6" w14:textId="77777777" w:rsidR="00E95A95" w:rsidRDefault="00306EB2" w:rsidP="00306EB2">
            <w:pPr>
              <w:keepNext/>
              <w:keepLines/>
              <w:spacing w:after="0" w:line="276" w:lineRule="auto"/>
              <w:jc w:val="right"/>
            </w:pPr>
            <w:r>
              <w:rPr>
                <w:sz w:val="18"/>
              </w:rPr>
              <w:t>0</w:t>
            </w:r>
          </w:p>
        </w:tc>
      </w:tr>
    </w:tbl>
    <w:p w14:paraId="149EB7E9" w14:textId="77777777" w:rsidR="00E95A95" w:rsidRDefault="00E95A95" w:rsidP="00306EB2">
      <w:pPr>
        <w:spacing w:after="0" w:line="276" w:lineRule="auto"/>
      </w:pPr>
    </w:p>
    <w:p w14:paraId="280228C8" w14:textId="77777777" w:rsidR="00E95A95" w:rsidRDefault="00306EB2" w:rsidP="00306EB2">
      <w:pPr>
        <w:spacing w:line="276" w:lineRule="auto"/>
        <w:jc w:val="both"/>
      </w:pPr>
      <w:r>
        <w:t>Došlo je do povećanja u obujmu imovine u iznosu od 900,00 eura. Iznos od 900,00 eura odnosi se na nabavu prijenosnog računala za II. gimnaziju temeljem dopisa (KLASA: 401-01/25-001/229, URBROJ:251-05-31/001-25-180) od 04. prosinca 2025. godine.</w:t>
      </w:r>
    </w:p>
    <w:p w14:paraId="75E350E7" w14:textId="77777777" w:rsidR="00E95A95" w:rsidRDefault="00E95A95" w:rsidP="00306EB2">
      <w:pPr>
        <w:spacing w:line="276" w:lineRule="auto"/>
      </w:pPr>
    </w:p>
    <w:p w14:paraId="2CA39C5D" w14:textId="77777777" w:rsidR="00E95A95" w:rsidRDefault="00306EB2" w:rsidP="00306EB2">
      <w:pPr>
        <w:keepNext/>
        <w:spacing w:line="276" w:lineRule="auto"/>
        <w:jc w:val="center"/>
      </w:pPr>
      <w:r>
        <w:rPr>
          <w:b/>
          <w:sz w:val="28"/>
        </w:rPr>
        <w:t>Izvještaj o obvezama</w:t>
      </w:r>
    </w:p>
    <w:p w14:paraId="1BB26BBC" w14:textId="77777777" w:rsidR="00E95A95" w:rsidRDefault="00306EB2" w:rsidP="00306EB2">
      <w:pPr>
        <w:keepNext/>
        <w:spacing w:line="276"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5A95" w14:paraId="053F707C" w14:textId="77777777">
        <w:trPr>
          <w:cantSplit/>
        </w:trPr>
        <w:tc>
          <w:tcPr>
            <w:tcW w:w="700" w:type="dxa"/>
            <w:shd w:val="clear" w:color="auto" w:fill="E7F0F9"/>
            <w:tcMar>
              <w:top w:w="0" w:type="dxa"/>
              <w:bottom w:w="0" w:type="dxa"/>
            </w:tcMar>
            <w:vAlign w:val="center"/>
          </w:tcPr>
          <w:p w14:paraId="26DBDDDF"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DB6DEE"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0C152CF7"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236AA99E" w14:textId="77777777" w:rsidR="00E95A95" w:rsidRDefault="00306EB2" w:rsidP="00306EB2">
            <w:pPr>
              <w:keepNext/>
              <w:keepLines/>
              <w:spacing w:after="0" w:line="276" w:lineRule="auto"/>
              <w:jc w:val="center"/>
            </w:pPr>
            <w:r>
              <w:rPr>
                <w:b/>
                <w:sz w:val="18"/>
              </w:rPr>
              <w:t>Iznos</w:t>
            </w:r>
          </w:p>
        </w:tc>
        <w:tc>
          <w:tcPr>
            <w:tcW w:w="700" w:type="dxa"/>
            <w:shd w:val="clear" w:color="auto" w:fill="E7F0F9"/>
            <w:tcMar>
              <w:top w:w="0" w:type="dxa"/>
              <w:bottom w:w="0" w:type="dxa"/>
            </w:tcMar>
            <w:vAlign w:val="center"/>
          </w:tcPr>
          <w:p w14:paraId="4DF9DA7B" w14:textId="77777777" w:rsidR="00E95A95" w:rsidRDefault="00306EB2" w:rsidP="00306EB2">
            <w:pPr>
              <w:keepNext/>
              <w:keepLines/>
              <w:spacing w:after="0" w:line="276" w:lineRule="auto"/>
              <w:jc w:val="center"/>
            </w:pPr>
            <w:r>
              <w:rPr>
                <w:b/>
                <w:sz w:val="18"/>
              </w:rPr>
              <w:t>Indeks (%)</w:t>
            </w:r>
          </w:p>
        </w:tc>
      </w:tr>
      <w:tr w:rsidR="00E95A95" w14:paraId="48A09AD6" w14:textId="77777777">
        <w:trPr>
          <w:cantSplit/>
          <w:trHeight w:val="560"/>
        </w:trPr>
        <w:tc>
          <w:tcPr>
            <w:tcW w:w="700" w:type="dxa"/>
            <w:tcMar>
              <w:top w:w="0" w:type="dxa"/>
              <w:bottom w:w="0" w:type="dxa"/>
            </w:tcMar>
            <w:vAlign w:val="center"/>
          </w:tcPr>
          <w:p w14:paraId="6DCB09AE" w14:textId="77777777" w:rsidR="00E95A95" w:rsidRDefault="00E95A95" w:rsidP="00306EB2">
            <w:pPr>
              <w:keepNext/>
              <w:keepLines/>
              <w:spacing w:after="0" w:line="276" w:lineRule="auto"/>
            </w:pPr>
          </w:p>
        </w:tc>
        <w:tc>
          <w:tcPr>
            <w:tcW w:w="3180" w:type="dxa"/>
            <w:tcMar>
              <w:top w:w="0" w:type="dxa"/>
              <w:bottom w:w="0" w:type="dxa"/>
            </w:tcMar>
            <w:vAlign w:val="center"/>
          </w:tcPr>
          <w:p w14:paraId="213F40BD" w14:textId="77777777" w:rsidR="00E95A95" w:rsidRDefault="00306EB2" w:rsidP="00306EB2">
            <w:pPr>
              <w:keepNext/>
              <w:keepLines/>
              <w:spacing w:after="0" w:line="276" w:lineRule="auto"/>
            </w:pPr>
            <w:r>
              <w:rPr>
                <w:sz w:val="18"/>
              </w:rPr>
              <w:t>Stanje obveza na kraju izvještajnog razdoblja (šifre V001+V002-V004) i (šifre V007+V009)</w:t>
            </w:r>
          </w:p>
        </w:tc>
        <w:tc>
          <w:tcPr>
            <w:tcW w:w="700" w:type="dxa"/>
            <w:tcMar>
              <w:top w:w="0" w:type="dxa"/>
              <w:bottom w:w="0" w:type="dxa"/>
            </w:tcMar>
            <w:vAlign w:val="center"/>
          </w:tcPr>
          <w:p w14:paraId="12A35520" w14:textId="77777777" w:rsidR="00E95A95" w:rsidRDefault="00306EB2" w:rsidP="00306EB2">
            <w:pPr>
              <w:keepNext/>
              <w:keepLines/>
              <w:spacing w:after="0" w:line="276" w:lineRule="auto"/>
            </w:pPr>
            <w:r>
              <w:rPr>
                <w:sz w:val="18"/>
              </w:rPr>
              <w:t>V006</w:t>
            </w:r>
          </w:p>
        </w:tc>
        <w:tc>
          <w:tcPr>
            <w:tcW w:w="1860" w:type="dxa"/>
            <w:tcMar>
              <w:top w:w="0" w:type="dxa"/>
              <w:bottom w:w="0" w:type="dxa"/>
            </w:tcMar>
            <w:vAlign w:val="center"/>
          </w:tcPr>
          <w:p w14:paraId="1F056486" w14:textId="77777777" w:rsidR="00E95A95" w:rsidRDefault="00306EB2" w:rsidP="00306EB2">
            <w:pPr>
              <w:keepNext/>
              <w:keepLines/>
              <w:spacing w:after="0" w:line="276" w:lineRule="auto"/>
              <w:jc w:val="right"/>
            </w:pPr>
            <w:r>
              <w:rPr>
                <w:sz w:val="18"/>
              </w:rPr>
              <w:t>158.510,92</w:t>
            </w:r>
          </w:p>
        </w:tc>
        <w:tc>
          <w:tcPr>
            <w:tcW w:w="700" w:type="dxa"/>
            <w:tcMar>
              <w:top w:w="0" w:type="dxa"/>
              <w:bottom w:w="0" w:type="dxa"/>
            </w:tcMar>
            <w:vAlign w:val="center"/>
          </w:tcPr>
          <w:p w14:paraId="2CEE2F7D" w14:textId="77777777" w:rsidR="00E95A95" w:rsidRDefault="00306EB2" w:rsidP="00306EB2">
            <w:pPr>
              <w:keepNext/>
              <w:keepLines/>
              <w:spacing w:after="0" w:line="276" w:lineRule="auto"/>
              <w:jc w:val="right"/>
            </w:pPr>
            <w:r>
              <w:rPr>
                <w:sz w:val="18"/>
              </w:rPr>
              <w:t>-</w:t>
            </w:r>
          </w:p>
        </w:tc>
      </w:tr>
    </w:tbl>
    <w:p w14:paraId="5460E812" w14:textId="77777777" w:rsidR="00E95A95" w:rsidRDefault="00E95A95" w:rsidP="00306EB2">
      <w:pPr>
        <w:spacing w:after="0" w:line="276" w:lineRule="auto"/>
      </w:pPr>
    </w:p>
    <w:p w14:paraId="24B3DCB2" w14:textId="77777777" w:rsidR="00E95A95" w:rsidRDefault="00306EB2" w:rsidP="00306EB2">
      <w:pPr>
        <w:spacing w:line="276" w:lineRule="auto"/>
        <w:jc w:val="both"/>
      </w:pPr>
      <w:r>
        <w:t>Stanje obveza na kraju izvještajnog razdoblja iznose 158.510,92 eura,  a odnose se na plaću za prosinac 2025. godine koja dospijeva u siječnju, naknade za invalide za prosinac 2025., materijalna prava za zaposlene za studeni i prosinac koja dospijevaju u siječnju i obveza  prema dobavljačima od kojih je do kraja izvještajnog razdoblja dospjelo 62,50 eura., ali su podmireni nakon izvještajnog razdoblja.  Stanje nedospjelih obveza na kraju izvještajnog razdoblja (šifra V009) iznosi 158.448,42 eura.</w:t>
      </w:r>
    </w:p>
    <w:p w14:paraId="2326708F" w14:textId="77777777" w:rsidR="00E95A95" w:rsidRDefault="00E95A95" w:rsidP="00306EB2">
      <w:pPr>
        <w:spacing w:line="276" w:lineRule="auto"/>
      </w:pPr>
    </w:p>
    <w:p w14:paraId="14B8D3E7" w14:textId="77777777" w:rsidR="00E95A95" w:rsidRDefault="00306EB2" w:rsidP="00306EB2">
      <w:pPr>
        <w:keepNext/>
        <w:spacing w:line="276"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5A95" w14:paraId="6355D0FC" w14:textId="77777777">
        <w:trPr>
          <w:cantSplit/>
        </w:trPr>
        <w:tc>
          <w:tcPr>
            <w:tcW w:w="700" w:type="dxa"/>
            <w:shd w:val="clear" w:color="auto" w:fill="E7F0F9"/>
            <w:tcMar>
              <w:top w:w="0" w:type="dxa"/>
              <w:bottom w:w="0" w:type="dxa"/>
            </w:tcMar>
            <w:vAlign w:val="center"/>
          </w:tcPr>
          <w:p w14:paraId="11A5F001"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F51ADA"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4713D16C"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5E55E6DD" w14:textId="77777777" w:rsidR="00E95A95" w:rsidRDefault="00306EB2" w:rsidP="00306EB2">
            <w:pPr>
              <w:keepNext/>
              <w:keepLines/>
              <w:spacing w:after="0" w:line="276" w:lineRule="auto"/>
              <w:jc w:val="center"/>
            </w:pPr>
            <w:r>
              <w:rPr>
                <w:b/>
                <w:sz w:val="18"/>
              </w:rPr>
              <w:t>Iznos</w:t>
            </w:r>
          </w:p>
        </w:tc>
        <w:tc>
          <w:tcPr>
            <w:tcW w:w="700" w:type="dxa"/>
            <w:shd w:val="clear" w:color="auto" w:fill="E7F0F9"/>
            <w:tcMar>
              <w:top w:w="0" w:type="dxa"/>
              <w:bottom w:w="0" w:type="dxa"/>
            </w:tcMar>
            <w:vAlign w:val="center"/>
          </w:tcPr>
          <w:p w14:paraId="208682D4" w14:textId="77777777" w:rsidR="00E95A95" w:rsidRDefault="00306EB2" w:rsidP="00306EB2">
            <w:pPr>
              <w:keepNext/>
              <w:keepLines/>
              <w:spacing w:after="0" w:line="276" w:lineRule="auto"/>
              <w:jc w:val="center"/>
            </w:pPr>
            <w:r>
              <w:rPr>
                <w:b/>
                <w:sz w:val="18"/>
              </w:rPr>
              <w:t>Indeks (%)</w:t>
            </w:r>
          </w:p>
        </w:tc>
      </w:tr>
      <w:tr w:rsidR="00E95A95" w14:paraId="51B11528" w14:textId="77777777">
        <w:trPr>
          <w:cantSplit/>
          <w:trHeight w:val="560"/>
        </w:trPr>
        <w:tc>
          <w:tcPr>
            <w:tcW w:w="700" w:type="dxa"/>
            <w:tcMar>
              <w:top w:w="0" w:type="dxa"/>
              <w:bottom w:w="0" w:type="dxa"/>
            </w:tcMar>
            <w:vAlign w:val="center"/>
          </w:tcPr>
          <w:p w14:paraId="6E3F48CF" w14:textId="77777777" w:rsidR="00E95A95" w:rsidRDefault="00E95A95" w:rsidP="00306EB2">
            <w:pPr>
              <w:keepNext/>
              <w:keepLines/>
              <w:spacing w:after="0" w:line="276" w:lineRule="auto"/>
            </w:pPr>
          </w:p>
        </w:tc>
        <w:tc>
          <w:tcPr>
            <w:tcW w:w="3180" w:type="dxa"/>
            <w:tcMar>
              <w:top w:w="0" w:type="dxa"/>
              <w:bottom w:w="0" w:type="dxa"/>
            </w:tcMar>
            <w:vAlign w:val="center"/>
          </w:tcPr>
          <w:p w14:paraId="0CD9114F" w14:textId="77777777" w:rsidR="00E95A95" w:rsidRDefault="00306EB2" w:rsidP="00306EB2">
            <w:pPr>
              <w:keepNext/>
              <w:keepLines/>
              <w:spacing w:after="0" w:line="276" w:lineRule="auto"/>
            </w:pPr>
            <w:r>
              <w:rPr>
                <w:sz w:val="18"/>
              </w:rPr>
              <w:t>Stanje dospjelih obveza na kraju izvještajnog razdoblja (šifre V008+D23+D24 + 'D dio 25,26' + D27)</w:t>
            </w:r>
          </w:p>
        </w:tc>
        <w:tc>
          <w:tcPr>
            <w:tcW w:w="700" w:type="dxa"/>
            <w:tcMar>
              <w:top w:w="0" w:type="dxa"/>
              <w:bottom w:w="0" w:type="dxa"/>
            </w:tcMar>
            <w:vAlign w:val="center"/>
          </w:tcPr>
          <w:p w14:paraId="7E79AA95" w14:textId="77777777" w:rsidR="00E95A95" w:rsidRDefault="00306EB2" w:rsidP="00306EB2">
            <w:pPr>
              <w:keepNext/>
              <w:keepLines/>
              <w:spacing w:after="0" w:line="276" w:lineRule="auto"/>
            </w:pPr>
            <w:r>
              <w:rPr>
                <w:sz w:val="18"/>
              </w:rPr>
              <w:t>V007</w:t>
            </w:r>
          </w:p>
        </w:tc>
        <w:tc>
          <w:tcPr>
            <w:tcW w:w="1860" w:type="dxa"/>
            <w:tcMar>
              <w:top w:w="0" w:type="dxa"/>
              <w:bottom w:w="0" w:type="dxa"/>
            </w:tcMar>
            <w:vAlign w:val="center"/>
          </w:tcPr>
          <w:p w14:paraId="1C9220C0" w14:textId="77777777" w:rsidR="00E95A95" w:rsidRDefault="00306EB2" w:rsidP="00306EB2">
            <w:pPr>
              <w:keepNext/>
              <w:keepLines/>
              <w:spacing w:after="0" w:line="276" w:lineRule="auto"/>
              <w:jc w:val="right"/>
            </w:pPr>
            <w:r>
              <w:rPr>
                <w:sz w:val="18"/>
              </w:rPr>
              <w:t>62,50</w:t>
            </w:r>
          </w:p>
        </w:tc>
        <w:tc>
          <w:tcPr>
            <w:tcW w:w="700" w:type="dxa"/>
            <w:tcMar>
              <w:top w:w="0" w:type="dxa"/>
              <w:bottom w:w="0" w:type="dxa"/>
            </w:tcMar>
            <w:vAlign w:val="center"/>
          </w:tcPr>
          <w:p w14:paraId="2CFF1ABA" w14:textId="77777777" w:rsidR="00E95A95" w:rsidRDefault="00306EB2" w:rsidP="00306EB2">
            <w:pPr>
              <w:keepNext/>
              <w:keepLines/>
              <w:spacing w:after="0" w:line="276" w:lineRule="auto"/>
              <w:jc w:val="right"/>
            </w:pPr>
            <w:r>
              <w:rPr>
                <w:sz w:val="18"/>
              </w:rPr>
              <w:t>-</w:t>
            </w:r>
          </w:p>
        </w:tc>
      </w:tr>
    </w:tbl>
    <w:p w14:paraId="1185733B" w14:textId="77777777" w:rsidR="00E95A95" w:rsidRDefault="00E95A95" w:rsidP="00306EB2">
      <w:pPr>
        <w:spacing w:after="0" w:line="276" w:lineRule="auto"/>
      </w:pPr>
    </w:p>
    <w:p w14:paraId="47A24DCA" w14:textId="77777777" w:rsidR="00E95A95" w:rsidRDefault="00306EB2" w:rsidP="00306EB2">
      <w:pPr>
        <w:spacing w:line="276" w:lineRule="auto"/>
        <w:jc w:val="both"/>
      </w:pPr>
      <w:r>
        <w:t>U izvještaju o obvezama  pod šifrom V007 prikazano je prekoračenje roka plaćanje kod dospjelih obveza u ukupnom iznosu od 62,50 eura, što se odnosi na obveze prema dobavljačima čije je dospijeće bilo do 31. prosinca 2025. godine, a podmirene su nakon njegova završetka izvještajnog razdoblja te su zbog toga iskazane kao prekoračene u navedenom razdoblju.</w:t>
      </w:r>
    </w:p>
    <w:p w14:paraId="388F106E" w14:textId="77777777" w:rsidR="00E95A95" w:rsidRDefault="00E95A95" w:rsidP="00306EB2">
      <w:pPr>
        <w:spacing w:line="276" w:lineRule="auto"/>
      </w:pPr>
    </w:p>
    <w:p w14:paraId="637621D4" w14:textId="77777777" w:rsidR="00E95A95" w:rsidRDefault="00306EB2" w:rsidP="00306EB2">
      <w:pPr>
        <w:keepNext/>
        <w:spacing w:line="276"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5A95" w14:paraId="65488114" w14:textId="77777777">
        <w:trPr>
          <w:cantSplit/>
        </w:trPr>
        <w:tc>
          <w:tcPr>
            <w:tcW w:w="700" w:type="dxa"/>
            <w:shd w:val="clear" w:color="auto" w:fill="E7F0F9"/>
            <w:tcMar>
              <w:top w:w="0" w:type="dxa"/>
              <w:bottom w:w="0" w:type="dxa"/>
            </w:tcMar>
            <w:vAlign w:val="center"/>
          </w:tcPr>
          <w:p w14:paraId="45FCA200" w14:textId="77777777" w:rsidR="00E95A95" w:rsidRDefault="00306EB2" w:rsidP="00306EB2">
            <w:pPr>
              <w:keepNext/>
              <w:keepLines/>
              <w:spacing w:after="0" w:line="276"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DFA7A1" w14:textId="77777777" w:rsidR="00E95A95" w:rsidRDefault="00306EB2" w:rsidP="00306EB2">
            <w:pPr>
              <w:keepNext/>
              <w:keepLines/>
              <w:spacing w:after="0" w:line="276" w:lineRule="auto"/>
              <w:jc w:val="center"/>
            </w:pPr>
            <w:r>
              <w:rPr>
                <w:b/>
                <w:sz w:val="18"/>
              </w:rPr>
              <w:t>Opis stavke</w:t>
            </w:r>
          </w:p>
        </w:tc>
        <w:tc>
          <w:tcPr>
            <w:tcW w:w="700" w:type="dxa"/>
            <w:shd w:val="clear" w:color="auto" w:fill="E7F0F9"/>
            <w:tcMar>
              <w:top w:w="0" w:type="dxa"/>
              <w:bottom w:w="0" w:type="dxa"/>
            </w:tcMar>
            <w:vAlign w:val="center"/>
          </w:tcPr>
          <w:p w14:paraId="2A2E85DC" w14:textId="77777777" w:rsidR="00E95A95" w:rsidRDefault="00306EB2" w:rsidP="00306EB2">
            <w:pPr>
              <w:keepNext/>
              <w:keepLines/>
              <w:spacing w:after="0" w:line="276" w:lineRule="auto"/>
              <w:jc w:val="center"/>
            </w:pPr>
            <w:r>
              <w:rPr>
                <w:b/>
                <w:sz w:val="18"/>
              </w:rPr>
              <w:t>Šifra</w:t>
            </w:r>
          </w:p>
        </w:tc>
        <w:tc>
          <w:tcPr>
            <w:tcW w:w="1860" w:type="dxa"/>
            <w:shd w:val="clear" w:color="auto" w:fill="E7F0F9"/>
            <w:tcMar>
              <w:top w:w="0" w:type="dxa"/>
              <w:bottom w:w="0" w:type="dxa"/>
            </w:tcMar>
            <w:vAlign w:val="center"/>
          </w:tcPr>
          <w:p w14:paraId="55D20F81" w14:textId="77777777" w:rsidR="00E95A95" w:rsidRDefault="00306EB2" w:rsidP="00306EB2">
            <w:pPr>
              <w:keepNext/>
              <w:keepLines/>
              <w:spacing w:after="0" w:line="276" w:lineRule="auto"/>
              <w:jc w:val="center"/>
            </w:pPr>
            <w:r>
              <w:rPr>
                <w:b/>
                <w:sz w:val="18"/>
              </w:rPr>
              <w:t>Iznos</w:t>
            </w:r>
          </w:p>
        </w:tc>
        <w:tc>
          <w:tcPr>
            <w:tcW w:w="700" w:type="dxa"/>
            <w:shd w:val="clear" w:color="auto" w:fill="E7F0F9"/>
            <w:tcMar>
              <w:top w:w="0" w:type="dxa"/>
              <w:bottom w:w="0" w:type="dxa"/>
            </w:tcMar>
            <w:vAlign w:val="center"/>
          </w:tcPr>
          <w:p w14:paraId="76A9A5BF" w14:textId="77777777" w:rsidR="00E95A95" w:rsidRDefault="00306EB2" w:rsidP="00306EB2">
            <w:pPr>
              <w:keepNext/>
              <w:keepLines/>
              <w:spacing w:after="0" w:line="276" w:lineRule="auto"/>
              <w:jc w:val="center"/>
            </w:pPr>
            <w:r>
              <w:rPr>
                <w:b/>
                <w:sz w:val="18"/>
              </w:rPr>
              <w:t>Indeks (%)</w:t>
            </w:r>
          </w:p>
        </w:tc>
      </w:tr>
      <w:tr w:rsidR="00E95A95" w14:paraId="720F7704" w14:textId="77777777">
        <w:trPr>
          <w:cantSplit/>
          <w:trHeight w:val="560"/>
        </w:trPr>
        <w:tc>
          <w:tcPr>
            <w:tcW w:w="700" w:type="dxa"/>
            <w:tcMar>
              <w:top w:w="0" w:type="dxa"/>
              <w:bottom w:w="0" w:type="dxa"/>
            </w:tcMar>
            <w:vAlign w:val="center"/>
          </w:tcPr>
          <w:p w14:paraId="298CBD4D" w14:textId="77777777" w:rsidR="00E95A95" w:rsidRDefault="00E95A95" w:rsidP="00306EB2">
            <w:pPr>
              <w:keepNext/>
              <w:keepLines/>
              <w:spacing w:after="0" w:line="276" w:lineRule="auto"/>
            </w:pPr>
          </w:p>
        </w:tc>
        <w:tc>
          <w:tcPr>
            <w:tcW w:w="3180" w:type="dxa"/>
            <w:tcMar>
              <w:top w:w="0" w:type="dxa"/>
              <w:bottom w:w="0" w:type="dxa"/>
            </w:tcMar>
            <w:vAlign w:val="center"/>
          </w:tcPr>
          <w:p w14:paraId="1746EF11" w14:textId="77777777" w:rsidR="00E95A95" w:rsidRDefault="00306EB2" w:rsidP="00306EB2">
            <w:pPr>
              <w:keepNext/>
              <w:keepLines/>
              <w:spacing w:after="0" w:line="276"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74E2C94" w14:textId="77777777" w:rsidR="00E95A95" w:rsidRDefault="00306EB2" w:rsidP="00306EB2">
            <w:pPr>
              <w:keepNext/>
              <w:keepLines/>
              <w:spacing w:after="0" w:line="276" w:lineRule="auto"/>
            </w:pPr>
            <w:r>
              <w:rPr>
                <w:sz w:val="18"/>
              </w:rPr>
              <w:t>V009</w:t>
            </w:r>
          </w:p>
        </w:tc>
        <w:tc>
          <w:tcPr>
            <w:tcW w:w="1860" w:type="dxa"/>
            <w:tcMar>
              <w:top w:w="0" w:type="dxa"/>
              <w:bottom w:w="0" w:type="dxa"/>
            </w:tcMar>
            <w:vAlign w:val="center"/>
          </w:tcPr>
          <w:p w14:paraId="2D10F598" w14:textId="77777777" w:rsidR="00E95A95" w:rsidRDefault="00306EB2" w:rsidP="00306EB2">
            <w:pPr>
              <w:keepNext/>
              <w:keepLines/>
              <w:spacing w:after="0" w:line="276" w:lineRule="auto"/>
              <w:jc w:val="right"/>
            </w:pPr>
            <w:r>
              <w:rPr>
                <w:sz w:val="18"/>
              </w:rPr>
              <w:t>158.448,42</w:t>
            </w:r>
          </w:p>
        </w:tc>
        <w:tc>
          <w:tcPr>
            <w:tcW w:w="700" w:type="dxa"/>
            <w:tcMar>
              <w:top w:w="0" w:type="dxa"/>
              <w:bottom w:w="0" w:type="dxa"/>
            </w:tcMar>
            <w:vAlign w:val="center"/>
          </w:tcPr>
          <w:p w14:paraId="7EAA9B29" w14:textId="77777777" w:rsidR="00E95A95" w:rsidRDefault="00306EB2" w:rsidP="00306EB2">
            <w:pPr>
              <w:keepNext/>
              <w:keepLines/>
              <w:spacing w:after="0" w:line="276" w:lineRule="auto"/>
              <w:jc w:val="right"/>
            </w:pPr>
            <w:r>
              <w:rPr>
                <w:sz w:val="18"/>
              </w:rPr>
              <w:t>-</w:t>
            </w:r>
          </w:p>
        </w:tc>
      </w:tr>
    </w:tbl>
    <w:p w14:paraId="5655CFDC" w14:textId="77777777" w:rsidR="00E95A95" w:rsidRDefault="00E95A95" w:rsidP="00306EB2">
      <w:pPr>
        <w:spacing w:after="0" w:line="276" w:lineRule="auto"/>
      </w:pPr>
    </w:p>
    <w:p w14:paraId="35140B0E" w14:textId="77777777" w:rsidR="00E95A95" w:rsidRDefault="00306EB2" w:rsidP="00306EB2">
      <w:pPr>
        <w:spacing w:line="276" w:lineRule="auto"/>
        <w:jc w:val="both"/>
      </w:pPr>
      <w:r>
        <w:t>Stanje nedospjelih obveza na kraju izvještajnog razdoblja (Šifra V009) iznosi 158.448,42 eura, a uključuju nedospjele plaće za zaposlenike za mjesec prosinac koje dospijevaju na plaćanje u siječnju, materijalna prava za zaposlene za mjesec prosinac 2025. godine, naknada za nezapošljavanje invalida za mjesec prosinac, naknada za članove školskih odbora za prosinac te naknade za e-tehničara za mjesec prosinac i naknade za prekovremeni rad u sklopu projekata Škola i zajednica i Zajednica aktivnih građana.</w:t>
      </w:r>
    </w:p>
    <w:p w14:paraId="5CF8F3A6" w14:textId="72840112" w:rsidR="00306EB2" w:rsidRDefault="00306EB2" w:rsidP="00306EB2">
      <w:pPr>
        <w:spacing w:line="276" w:lineRule="auto"/>
      </w:pPr>
      <w:r>
        <w:br w:type="page"/>
      </w:r>
    </w:p>
    <w:p w14:paraId="4D2A0015" w14:textId="77777777" w:rsidR="00E95A95" w:rsidRDefault="00E95A95" w:rsidP="00306EB2">
      <w:pPr>
        <w:spacing w:line="276" w:lineRule="auto"/>
      </w:pPr>
    </w:p>
    <w:p w14:paraId="290CFC71" w14:textId="25EB5580" w:rsidR="00E95A95" w:rsidRDefault="00306EB2" w:rsidP="00306EB2">
      <w:pPr>
        <w:spacing w:line="276" w:lineRule="auto"/>
        <w:jc w:val="center"/>
        <w:rPr>
          <w:b/>
          <w:sz w:val="28"/>
          <w:szCs w:val="22"/>
        </w:rPr>
      </w:pPr>
      <w:r w:rsidRPr="00306EB2">
        <w:rPr>
          <w:b/>
          <w:sz w:val="28"/>
          <w:szCs w:val="22"/>
        </w:rPr>
        <w:t>EU izvještaj</w:t>
      </w:r>
    </w:p>
    <w:p w14:paraId="503BC5BF" w14:textId="3E66831E" w:rsidR="00306EB2" w:rsidRPr="00306EB2" w:rsidRDefault="00306EB2" w:rsidP="00306EB2">
      <w:pPr>
        <w:keepNext/>
        <w:spacing w:line="276" w:lineRule="auto"/>
        <w:jc w:val="center"/>
      </w:pPr>
      <w:r>
        <w:rPr>
          <w:sz w:val="28"/>
        </w:rPr>
        <w:t>Bilješka 32.</w:t>
      </w:r>
    </w:p>
    <w:p w14:paraId="55077E17" w14:textId="77777777" w:rsidR="00306EB2" w:rsidRDefault="00306EB2" w:rsidP="00306EB2">
      <w:pPr>
        <w:spacing w:line="276" w:lineRule="auto"/>
      </w:pPr>
    </w:p>
    <w:p w14:paraId="723D51E4" w14:textId="14A9E6CA" w:rsidR="00E95A95" w:rsidRDefault="00306EB2" w:rsidP="00306EB2">
      <w:pPr>
        <w:spacing w:line="360" w:lineRule="auto"/>
        <w:jc w:val="both"/>
      </w:pPr>
      <w:r>
        <w:t>U EU izvještaju po izvorima financiranja - 510 Programi unije na šifri 63811 Tekuće pomoći temeljem prijenosa EU sredstava prikazan je iznos od 7.710,80 eura koji podrazumijeva  završnu isplatu bespovratnih sredstava za Erasmus+ projekt. Na šiframa 3 prikazani su rashodi po istom izvoru za provođenje projekata.  Rashod su sljedeći: pod šifrom 3211 - Službena putovanja iznosi od 9.080,31, a odnosi se na službena putovanja u sklopu Erasmus+ projekta u 2025. godini, šifra 3213- Stručno usavršavanje zaposlenika u iznosu 5.229,00, na šifri 3221 - Uredski materijal i ostali materijalni rashodi 312,58 eura, na šifri 3293- Reprezentacija u iznosu 71,88 eura te na šifri 3299- Ostali nespomenuti rashodi poslovanja u iznosu 54,00 eura.</w:t>
      </w:r>
    </w:p>
    <w:p w14:paraId="357B85AD" w14:textId="77777777" w:rsidR="00E95A95" w:rsidRDefault="00306EB2" w:rsidP="00306EB2">
      <w:pPr>
        <w:spacing w:line="360" w:lineRule="auto"/>
        <w:jc w:val="both"/>
      </w:pPr>
      <w:r>
        <w:t>U EU izvještaju po izvorima financiranja - 565 Europski poljoprivredni fond za ruralni razvoj na šifri 6393 - Tekući prijenosi između proračunskih korisnika istog proračuna temeljem prijenosa EU sredstava evidentiran je prihod za školsku shemu voća u izvještajnom razdoblju za 2025. godinu. Rashodi na šifri 3222- Materijal i sirovine prikazan je za nabavu voća u sklopu školske sheme u 2025. godini u iznosu od 2.890,20 eura.</w:t>
      </w:r>
    </w:p>
    <w:p w14:paraId="5EC3FC69" w14:textId="71D5EAF7" w:rsidR="00E95A95" w:rsidRDefault="00E95A95" w:rsidP="00306EB2">
      <w:pPr>
        <w:spacing w:line="276" w:lineRule="auto"/>
      </w:pPr>
    </w:p>
    <w:p w14:paraId="36A3FCCB" w14:textId="4C25C359" w:rsidR="00306EB2" w:rsidRPr="00306EB2" w:rsidRDefault="00306EB2" w:rsidP="00306EB2">
      <w:pPr>
        <w:spacing w:line="276" w:lineRule="auto"/>
      </w:pPr>
    </w:p>
    <w:p w14:paraId="5FC411BC" w14:textId="7FE9426B" w:rsidR="00306EB2" w:rsidRPr="00306EB2" w:rsidRDefault="00306EB2" w:rsidP="00306EB2">
      <w:pPr>
        <w:spacing w:line="276" w:lineRule="auto"/>
      </w:pPr>
    </w:p>
    <w:p w14:paraId="32A5FD01" w14:textId="17BB9AA3" w:rsidR="00306EB2" w:rsidRDefault="00306EB2" w:rsidP="00306EB2">
      <w:pPr>
        <w:spacing w:line="276" w:lineRule="auto"/>
      </w:pPr>
    </w:p>
    <w:p w14:paraId="132815C4" w14:textId="77777777" w:rsidR="00341525" w:rsidRPr="00306EB2" w:rsidRDefault="00341525" w:rsidP="00306EB2">
      <w:pPr>
        <w:spacing w:line="276" w:lineRule="auto"/>
      </w:pPr>
    </w:p>
    <w:p w14:paraId="66ADF1CD" w14:textId="3A2224C8" w:rsidR="00306EB2" w:rsidRPr="00306EB2" w:rsidRDefault="00306EB2" w:rsidP="00306EB2"/>
    <w:p w14:paraId="05DEBE82" w14:textId="56ECA5AB" w:rsidR="00306EB2" w:rsidRDefault="00306EB2" w:rsidP="00306EB2"/>
    <w:p w14:paraId="4F9C78BF" w14:textId="77777777" w:rsidR="00341525" w:rsidRDefault="00341525" w:rsidP="00306EB2"/>
    <w:p w14:paraId="4D3F3CB8" w14:textId="77777777" w:rsidR="00306EB2" w:rsidRDefault="00306EB2" w:rsidP="00306EB2">
      <w:r>
        <w:t>Voditeljica računovodstva:                                                      Ravnateljica:</w:t>
      </w:r>
    </w:p>
    <w:p w14:paraId="0E09413A" w14:textId="77777777" w:rsidR="00306EB2" w:rsidRDefault="00306EB2" w:rsidP="00306EB2"/>
    <w:p w14:paraId="14181482" w14:textId="77777777" w:rsidR="00306EB2" w:rsidRDefault="00306EB2" w:rsidP="00306EB2">
      <w:r>
        <w:t>__________________________                                            ___________________________</w:t>
      </w:r>
    </w:p>
    <w:p w14:paraId="210136F8" w14:textId="0DABED4F" w:rsidR="00306EB2" w:rsidRPr="00306EB2" w:rsidRDefault="00341525" w:rsidP="00341525">
      <w:r>
        <w:t xml:space="preserve">  Nikolina Benković, mag.oec. </w:t>
      </w:r>
      <w:r>
        <w:tab/>
      </w:r>
      <w:r>
        <w:tab/>
      </w:r>
      <w:r>
        <w:tab/>
      </w:r>
      <w:r>
        <w:tab/>
      </w:r>
      <w:r>
        <w:tab/>
        <w:t>Maja Horvat, prof.</w:t>
      </w:r>
    </w:p>
    <w:sectPr w:rsidR="00306EB2" w:rsidRPr="00306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5A95"/>
    <w:rsid w:val="00306EB2"/>
    <w:rsid w:val="00341525"/>
    <w:rsid w:val="00E95A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85DC"/>
  <w15:docId w15:val="{3DDCB44D-A54B-4030-86B4-792440FB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2752</Words>
  <Characters>15690</Characters>
  <Application>Microsoft Office Word</Application>
  <DocSecurity>0</DocSecurity>
  <Lines>130</Lines>
  <Paragraphs>36</Paragraphs>
  <ScaleCrop>false</ScaleCrop>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bernarda.bernardic@gmail.com</cp:lastModifiedBy>
  <cp:revision>3</cp:revision>
  <dcterms:created xsi:type="dcterms:W3CDTF">2026-01-28T17:17:00Z</dcterms:created>
  <dcterms:modified xsi:type="dcterms:W3CDTF">2026-02-06T12:31:00Z</dcterms:modified>
</cp:coreProperties>
</file>